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5C" w:rsidRPr="00234AEE" w:rsidRDefault="00234AEE">
      <w:pPr>
        <w:jc w:val="center"/>
        <w:rPr>
          <w:rFonts w:ascii="Verdana" w:hAnsi="Verdana"/>
          <w:b/>
        </w:rPr>
      </w:pPr>
      <w:r w:rsidRPr="00234AEE">
        <w:rPr>
          <w:rFonts w:ascii="Verdana" w:hAnsi="Verdana"/>
          <w:b/>
        </w:rPr>
        <w:t xml:space="preserve">Summarising Student Attainment through a Grade Point Average </w:t>
      </w:r>
    </w:p>
    <w:p w:rsidR="00234AEE" w:rsidRDefault="00234AEE" w:rsidP="00E6251F">
      <w:pPr>
        <w:spacing w:after="0"/>
        <w:rPr>
          <w:rFonts w:ascii="Verdana" w:hAnsi="Verdana"/>
          <w:b/>
          <w:sz w:val="20"/>
          <w:szCs w:val="20"/>
        </w:rPr>
      </w:pPr>
    </w:p>
    <w:p w:rsidR="00234AEE" w:rsidRPr="00234AEE" w:rsidRDefault="00234AEE" w:rsidP="00E6251F">
      <w:pPr>
        <w:spacing w:after="0"/>
        <w:rPr>
          <w:rFonts w:ascii="Verdana" w:hAnsi="Verdana"/>
          <w:b/>
          <w:sz w:val="20"/>
          <w:szCs w:val="20"/>
        </w:rPr>
      </w:pPr>
      <w:r>
        <w:rPr>
          <w:rFonts w:ascii="Verdana" w:hAnsi="Verdana"/>
          <w:b/>
          <w:sz w:val="20"/>
          <w:szCs w:val="20"/>
        </w:rPr>
        <w:t>Introduction</w:t>
      </w:r>
    </w:p>
    <w:p w:rsidR="00234AEE" w:rsidRPr="00234AEE" w:rsidRDefault="00234AEE" w:rsidP="00E6251F">
      <w:pPr>
        <w:spacing w:after="0"/>
        <w:rPr>
          <w:rFonts w:ascii="Verdana" w:hAnsi="Verdana"/>
          <w:sz w:val="20"/>
          <w:szCs w:val="20"/>
        </w:rPr>
      </w:pPr>
    </w:p>
    <w:p w:rsidR="00234AEE" w:rsidRPr="005E0857" w:rsidRDefault="00D55C6E" w:rsidP="00224456">
      <w:pPr>
        <w:pStyle w:val="NoSpacing"/>
        <w:rPr>
          <w:rFonts w:ascii="Verdana" w:hAnsi="Verdana"/>
          <w:sz w:val="20"/>
          <w:szCs w:val="20"/>
        </w:rPr>
      </w:pPr>
      <w:r>
        <w:rPr>
          <w:rFonts w:ascii="Verdana" w:hAnsi="Verdana"/>
          <w:sz w:val="20"/>
          <w:szCs w:val="20"/>
        </w:rPr>
        <w:t xml:space="preserve">A </w:t>
      </w:r>
      <w:r w:rsidR="00234AEE" w:rsidRPr="005E0857">
        <w:rPr>
          <w:rFonts w:ascii="Verdana" w:hAnsi="Verdana"/>
          <w:sz w:val="20"/>
          <w:szCs w:val="20"/>
        </w:rPr>
        <w:t xml:space="preserve">group </w:t>
      </w:r>
      <w:r>
        <w:rPr>
          <w:rFonts w:ascii="Verdana" w:hAnsi="Verdana"/>
          <w:sz w:val="20"/>
          <w:szCs w:val="20"/>
        </w:rPr>
        <w:t>of Pro-Vice-Chancellors from a number of Russell Group universities -</w:t>
      </w:r>
      <w:r w:rsidR="00234AEE" w:rsidRPr="005E0857">
        <w:rPr>
          <w:rFonts w:ascii="Verdana" w:hAnsi="Verdana"/>
          <w:sz w:val="20"/>
          <w:szCs w:val="20"/>
        </w:rPr>
        <w:t xml:space="preserve"> </w:t>
      </w:r>
      <w:r w:rsidR="00234AEE" w:rsidRPr="005E0857">
        <w:rPr>
          <w:rFonts w:ascii="Verdana" w:hAnsi="Verdana"/>
          <w:bCs/>
          <w:sz w:val="20"/>
          <w:szCs w:val="20"/>
        </w:rPr>
        <w:t xml:space="preserve">Birmingham, </w:t>
      </w:r>
      <w:r w:rsidRPr="005E0857">
        <w:rPr>
          <w:rFonts w:ascii="Verdana" w:hAnsi="Verdana"/>
          <w:bCs/>
          <w:sz w:val="20"/>
          <w:szCs w:val="20"/>
        </w:rPr>
        <w:t>LSE</w:t>
      </w:r>
      <w:r>
        <w:rPr>
          <w:rFonts w:ascii="Verdana" w:hAnsi="Verdana"/>
          <w:bCs/>
          <w:sz w:val="20"/>
          <w:szCs w:val="20"/>
        </w:rPr>
        <w:t xml:space="preserve">, Nottingham, </w:t>
      </w:r>
      <w:r w:rsidR="00234AEE" w:rsidRPr="005E0857">
        <w:rPr>
          <w:rFonts w:ascii="Verdana" w:hAnsi="Verdana"/>
          <w:bCs/>
          <w:sz w:val="20"/>
          <w:szCs w:val="20"/>
        </w:rPr>
        <w:t xml:space="preserve">Sheffield, </w:t>
      </w:r>
      <w:r>
        <w:rPr>
          <w:rFonts w:ascii="Verdana" w:hAnsi="Verdana"/>
          <w:bCs/>
          <w:sz w:val="20"/>
          <w:szCs w:val="20"/>
        </w:rPr>
        <w:t>UCL,</w:t>
      </w:r>
      <w:r w:rsidRPr="005E0857">
        <w:rPr>
          <w:rFonts w:ascii="Verdana" w:hAnsi="Verdana"/>
          <w:bCs/>
          <w:sz w:val="20"/>
          <w:szCs w:val="20"/>
        </w:rPr>
        <w:t xml:space="preserve"> </w:t>
      </w:r>
      <w:r w:rsidR="00234AEE" w:rsidRPr="005E0857">
        <w:rPr>
          <w:rFonts w:ascii="Verdana" w:hAnsi="Verdana"/>
          <w:bCs/>
          <w:sz w:val="20"/>
          <w:szCs w:val="20"/>
        </w:rPr>
        <w:t xml:space="preserve">Warwick, </w:t>
      </w:r>
      <w:r>
        <w:rPr>
          <w:rFonts w:ascii="Verdana" w:hAnsi="Verdana"/>
          <w:bCs/>
          <w:sz w:val="20"/>
          <w:szCs w:val="20"/>
        </w:rPr>
        <w:t>and York –</w:t>
      </w:r>
      <w:r w:rsidR="00234AEE" w:rsidRPr="005E0857">
        <w:rPr>
          <w:rFonts w:ascii="Verdana" w:hAnsi="Verdana"/>
          <w:bCs/>
          <w:sz w:val="20"/>
          <w:szCs w:val="20"/>
        </w:rPr>
        <w:t xml:space="preserve"> </w:t>
      </w:r>
      <w:r w:rsidR="00150DB0">
        <w:rPr>
          <w:rFonts w:ascii="Verdana" w:hAnsi="Verdana"/>
          <w:bCs/>
          <w:sz w:val="20"/>
          <w:szCs w:val="20"/>
        </w:rPr>
        <w:t>began work in 2011</w:t>
      </w:r>
      <w:r>
        <w:rPr>
          <w:rFonts w:ascii="Verdana" w:hAnsi="Verdana"/>
          <w:bCs/>
          <w:sz w:val="20"/>
          <w:szCs w:val="20"/>
        </w:rPr>
        <w:t xml:space="preserve"> </w:t>
      </w:r>
      <w:r w:rsidR="00234AEE" w:rsidRPr="005E0857">
        <w:rPr>
          <w:rFonts w:ascii="Verdana" w:hAnsi="Verdana"/>
          <w:bCs/>
          <w:sz w:val="20"/>
          <w:szCs w:val="20"/>
        </w:rPr>
        <w:t xml:space="preserve">on </w:t>
      </w:r>
      <w:r w:rsidR="005A01B0" w:rsidRPr="005E0857">
        <w:rPr>
          <w:rFonts w:ascii="Verdana" w:hAnsi="Verdana"/>
          <w:sz w:val="20"/>
          <w:szCs w:val="20"/>
        </w:rPr>
        <w:t xml:space="preserve">a proposal for a Grade Point Average </w:t>
      </w:r>
      <w:r w:rsidR="009C0FD5">
        <w:rPr>
          <w:rFonts w:ascii="Verdana" w:hAnsi="Verdana"/>
          <w:sz w:val="20"/>
          <w:szCs w:val="20"/>
        </w:rPr>
        <w:t xml:space="preserve">(GPA) </w:t>
      </w:r>
      <w:r w:rsidR="005A01B0" w:rsidRPr="005E0857">
        <w:rPr>
          <w:rFonts w:ascii="Verdana" w:hAnsi="Verdana"/>
          <w:sz w:val="20"/>
          <w:szCs w:val="20"/>
        </w:rPr>
        <w:t>model that could be introduced into UK higher education</w:t>
      </w:r>
      <w:r>
        <w:rPr>
          <w:rFonts w:ascii="Verdana" w:hAnsi="Verdana"/>
          <w:sz w:val="20"/>
          <w:szCs w:val="20"/>
        </w:rPr>
        <w:t xml:space="preserve"> to replace the current degree classification system</w:t>
      </w:r>
      <w:r w:rsidR="005A01B0" w:rsidRPr="005E0857">
        <w:rPr>
          <w:rFonts w:ascii="Verdana" w:hAnsi="Verdana"/>
          <w:sz w:val="20"/>
          <w:szCs w:val="20"/>
        </w:rPr>
        <w:t>. The a</w:t>
      </w:r>
      <w:r>
        <w:rPr>
          <w:rFonts w:ascii="Verdana" w:hAnsi="Verdana"/>
          <w:sz w:val="20"/>
          <w:szCs w:val="20"/>
        </w:rPr>
        <w:t>im of this model is to provide</w:t>
      </w:r>
      <w:r w:rsidR="005A01B0" w:rsidRPr="005E0857">
        <w:rPr>
          <w:rFonts w:ascii="Verdana" w:hAnsi="Verdana"/>
          <w:sz w:val="20"/>
          <w:szCs w:val="20"/>
        </w:rPr>
        <w:t xml:space="preserve"> a means of summarising attainment at undergraduate level that is</w:t>
      </w:r>
      <w:r w:rsidR="00234AEE" w:rsidRPr="005E0857">
        <w:rPr>
          <w:rFonts w:ascii="Verdana" w:hAnsi="Verdana"/>
          <w:sz w:val="20"/>
          <w:szCs w:val="20"/>
        </w:rPr>
        <w:t>:</w:t>
      </w:r>
    </w:p>
    <w:p w:rsidR="0095145C" w:rsidRPr="00234AEE" w:rsidRDefault="005A01B0" w:rsidP="00234AEE">
      <w:pPr>
        <w:spacing w:after="0" w:line="240" w:lineRule="auto"/>
        <w:rPr>
          <w:rFonts w:ascii="Verdana" w:hAnsi="Verdana"/>
          <w:b/>
          <w:bCs/>
          <w:sz w:val="20"/>
          <w:szCs w:val="20"/>
        </w:rPr>
      </w:pPr>
      <w:r w:rsidRPr="00234AEE">
        <w:rPr>
          <w:rFonts w:ascii="Verdana" w:hAnsi="Verdana"/>
          <w:sz w:val="20"/>
          <w:szCs w:val="20"/>
        </w:rPr>
        <w:t xml:space="preserve"> </w:t>
      </w:r>
    </w:p>
    <w:p w:rsidR="0095145C" w:rsidRDefault="005A01B0" w:rsidP="00E6251F">
      <w:pPr>
        <w:numPr>
          <w:ilvl w:val="0"/>
          <w:numId w:val="3"/>
        </w:numPr>
        <w:spacing w:after="0"/>
        <w:ind w:left="714" w:hanging="357"/>
        <w:rPr>
          <w:rFonts w:ascii="Verdana" w:hAnsi="Verdana"/>
          <w:sz w:val="20"/>
          <w:szCs w:val="20"/>
        </w:rPr>
      </w:pPr>
      <w:r w:rsidRPr="00234AEE">
        <w:rPr>
          <w:rFonts w:ascii="Verdana" w:hAnsi="Verdana"/>
          <w:sz w:val="20"/>
          <w:szCs w:val="20"/>
        </w:rPr>
        <w:t>More</w:t>
      </w:r>
      <w:r w:rsidR="00EC3D45">
        <w:rPr>
          <w:rFonts w:ascii="Verdana" w:hAnsi="Verdana"/>
          <w:sz w:val="20"/>
          <w:szCs w:val="20"/>
        </w:rPr>
        <w:t xml:space="preserve"> transparent and better able to reflect</w:t>
      </w:r>
      <w:r w:rsidRPr="00234AEE">
        <w:rPr>
          <w:rFonts w:ascii="Verdana" w:hAnsi="Verdana"/>
          <w:sz w:val="20"/>
          <w:szCs w:val="20"/>
        </w:rPr>
        <w:t xml:space="preserve"> different levels of attainment</w:t>
      </w:r>
      <w:r w:rsidR="00EC3D45">
        <w:rPr>
          <w:rFonts w:ascii="Verdana" w:hAnsi="Verdana"/>
          <w:sz w:val="20"/>
          <w:szCs w:val="20"/>
        </w:rPr>
        <w:t xml:space="preserve"> (of particular benefit to graduate recruiters</w:t>
      </w:r>
      <w:r w:rsidR="00A55BA2">
        <w:rPr>
          <w:rFonts w:ascii="Verdana" w:hAnsi="Verdana"/>
          <w:sz w:val="20"/>
          <w:szCs w:val="20"/>
        </w:rPr>
        <w:t>)</w:t>
      </w:r>
      <w:r w:rsidR="00EC3D45">
        <w:rPr>
          <w:rFonts w:ascii="Verdana" w:hAnsi="Verdana"/>
          <w:sz w:val="20"/>
          <w:szCs w:val="20"/>
        </w:rPr>
        <w:t xml:space="preserve">, while still </w:t>
      </w:r>
      <w:r w:rsidR="009C0FD5">
        <w:rPr>
          <w:rFonts w:ascii="Verdana" w:hAnsi="Verdana"/>
          <w:sz w:val="20"/>
          <w:szCs w:val="20"/>
        </w:rPr>
        <w:t>maintaining current threshold standards</w:t>
      </w:r>
      <w:r w:rsidR="00884E3E" w:rsidRPr="00234AEE">
        <w:rPr>
          <w:rFonts w:ascii="Verdana" w:hAnsi="Verdana"/>
          <w:sz w:val="20"/>
          <w:szCs w:val="20"/>
        </w:rPr>
        <w:t>,</w:t>
      </w:r>
    </w:p>
    <w:p w:rsidR="00234AEE" w:rsidRPr="00234AEE" w:rsidRDefault="00234AEE" w:rsidP="00234AEE">
      <w:pPr>
        <w:spacing w:after="0"/>
        <w:ind w:left="714"/>
        <w:rPr>
          <w:rFonts w:ascii="Verdana" w:hAnsi="Verdana"/>
          <w:sz w:val="20"/>
          <w:szCs w:val="20"/>
        </w:rPr>
      </w:pPr>
    </w:p>
    <w:p w:rsidR="00234AEE" w:rsidRDefault="005A01B0" w:rsidP="00E6251F">
      <w:pPr>
        <w:numPr>
          <w:ilvl w:val="0"/>
          <w:numId w:val="3"/>
        </w:numPr>
        <w:spacing w:after="0"/>
        <w:ind w:left="714" w:hanging="357"/>
        <w:rPr>
          <w:rFonts w:ascii="Verdana" w:hAnsi="Verdana"/>
          <w:sz w:val="20"/>
          <w:szCs w:val="20"/>
        </w:rPr>
      </w:pPr>
      <w:r w:rsidRPr="00234AEE">
        <w:rPr>
          <w:rFonts w:ascii="Verdana" w:hAnsi="Verdana"/>
          <w:sz w:val="20"/>
          <w:szCs w:val="20"/>
        </w:rPr>
        <w:t>Globally understood, and</w:t>
      </w:r>
    </w:p>
    <w:p w:rsidR="0095145C" w:rsidRPr="00234AEE" w:rsidRDefault="005A01B0" w:rsidP="00234AEE">
      <w:pPr>
        <w:spacing w:after="0"/>
        <w:ind w:left="714"/>
        <w:rPr>
          <w:rFonts w:ascii="Verdana" w:hAnsi="Verdana"/>
          <w:sz w:val="20"/>
          <w:szCs w:val="20"/>
        </w:rPr>
      </w:pPr>
      <w:r w:rsidRPr="00234AEE">
        <w:rPr>
          <w:rFonts w:ascii="Verdana" w:hAnsi="Verdana"/>
          <w:sz w:val="20"/>
          <w:szCs w:val="20"/>
        </w:rPr>
        <w:t xml:space="preserve"> </w:t>
      </w:r>
    </w:p>
    <w:p w:rsidR="009C0FD5" w:rsidRPr="009C0FD5" w:rsidRDefault="005A01B0" w:rsidP="009C0FD5">
      <w:pPr>
        <w:numPr>
          <w:ilvl w:val="0"/>
          <w:numId w:val="3"/>
        </w:numPr>
        <w:spacing w:after="0"/>
        <w:ind w:left="714" w:hanging="357"/>
        <w:rPr>
          <w:rFonts w:ascii="Verdana" w:hAnsi="Verdana"/>
          <w:sz w:val="20"/>
          <w:szCs w:val="20"/>
        </w:rPr>
      </w:pPr>
      <w:r w:rsidRPr="00234AEE">
        <w:rPr>
          <w:rFonts w:ascii="Verdana" w:hAnsi="Verdana"/>
          <w:sz w:val="20"/>
          <w:szCs w:val="20"/>
        </w:rPr>
        <w:t>Reflective of and compatible with the culture and norms of marking in UK higher education.</w:t>
      </w:r>
    </w:p>
    <w:p w:rsidR="009C0FD5" w:rsidRDefault="009C0FD5" w:rsidP="00234AEE">
      <w:pPr>
        <w:pStyle w:val="NoSpacing"/>
        <w:rPr>
          <w:rFonts w:ascii="Verdana" w:hAnsi="Verdana"/>
          <w:sz w:val="20"/>
          <w:szCs w:val="20"/>
        </w:rPr>
      </w:pPr>
    </w:p>
    <w:p w:rsidR="00234AEE" w:rsidRPr="009C0FD5" w:rsidRDefault="009C0FD5" w:rsidP="00234AEE">
      <w:pPr>
        <w:pStyle w:val="NoSpacing"/>
        <w:rPr>
          <w:rFonts w:ascii="Verdana" w:hAnsi="Verdana"/>
          <w:sz w:val="20"/>
          <w:szCs w:val="20"/>
        </w:rPr>
      </w:pPr>
      <w:r>
        <w:rPr>
          <w:rFonts w:ascii="Verdana" w:hAnsi="Verdana"/>
          <w:sz w:val="20"/>
          <w:szCs w:val="20"/>
        </w:rPr>
        <w:t>It is also envisaged that a move to GPA can provide the opportunity to overhaul assessment practices more generally and making them supportive of widespread improvements in teaching and learning.</w:t>
      </w:r>
    </w:p>
    <w:p w:rsidR="009C0FD5" w:rsidRDefault="009C0FD5" w:rsidP="00234AEE">
      <w:pPr>
        <w:pStyle w:val="NoSpacing"/>
      </w:pPr>
    </w:p>
    <w:p w:rsidR="00234AEE" w:rsidRPr="005E0857" w:rsidRDefault="005A01B0" w:rsidP="005E0857">
      <w:pPr>
        <w:rPr>
          <w:rFonts w:ascii="Verdana" w:hAnsi="Verdana"/>
          <w:b/>
          <w:sz w:val="20"/>
          <w:szCs w:val="20"/>
        </w:rPr>
      </w:pPr>
      <w:r w:rsidRPr="005E0857">
        <w:rPr>
          <w:rFonts w:ascii="Verdana" w:hAnsi="Verdana"/>
          <w:b/>
          <w:sz w:val="20"/>
          <w:szCs w:val="20"/>
        </w:rPr>
        <w:t>The proposed model</w:t>
      </w:r>
    </w:p>
    <w:p w:rsidR="0095145C" w:rsidRPr="00234AEE" w:rsidRDefault="005A01B0">
      <w:pPr>
        <w:rPr>
          <w:rFonts w:ascii="Verdana" w:hAnsi="Verdana"/>
          <w:bCs/>
          <w:sz w:val="20"/>
          <w:szCs w:val="20"/>
        </w:rPr>
      </w:pPr>
      <w:r w:rsidRPr="00234AEE">
        <w:rPr>
          <w:rFonts w:ascii="Verdana" w:hAnsi="Verdana"/>
          <w:bCs/>
          <w:sz w:val="20"/>
          <w:szCs w:val="20"/>
        </w:rPr>
        <w:t xml:space="preserve">The following principles </w:t>
      </w:r>
      <w:r w:rsidR="009C0FD5">
        <w:rPr>
          <w:rFonts w:ascii="Verdana" w:hAnsi="Verdana"/>
          <w:bCs/>
          <w:sz w:val="20"/>
          <w:szCs w:val="20"/>
        </w:rPr>
        <w:t>were</w:t>
      </w:r>
      <w:r w:rsidR="00234AEE">
        <w:rPr>
          <w:rFonts w:ascii="Verdana" w:hAnsi="Verdana"/>
          <w:bCs/>
          <w:sz w:val="20"/>
          <w:szCs w:val="20"/>
        </w:rPr>
        <w:t xml:space="preserve"> adopted </w:t>
      </w:r>
      <w:r w:rsidR="009C0FD5">
        <w:rPr>
          <w:rFonts w:ascii="Verdana" w:hAnsi="Verdana"/>
          <w:bCs/>
          <w:sz w:val="20"/>
          <w:szCs w:val="20"/>
        </w:rPr>
        <w:t xml:space="preserve">by the working group </w:t>
      </w:r>
      <w:r w:rsidR="00234AEE">
        <w:rPr>
          <w:rFonts w:ascii="Verdana" w:hAnsi="Verdana"/>
          <w:bCs/>
          <w:sz w:val="20"/>
          <w:szCs w:val="20"/>
        </w:rPr>
        <w:t>in selecting a GPA model</w:t>
      </w:r>
      <w:r w:rsidRPr="00234AEE">
        <w:rPr>
          <w:rFonts w:ascii="Verdana" w:hAnsi="Verdana"/>
          <w:bCs/>
          <w:sz w:val="20"/>
          <w:szCs w:val="20"/>
        </w:rPr>
        <w:t xml:space="preserve">: </w:t>
      </w:r>
    </w:p>
    <w:p w:rsidR="0095145C" w:rsidRPr="00234AEE" w:rsidRDefault="005A01B0">
      <w:pPr>
        <w:numPr>
          <w:ilvl w:val="0"/>
          <w:numId w:val="3"/>
        </w:numPr>
        <w:rPr>
          <w:rFonts w:ascii="Verdana" w:hAnsi="Verdana"/>
          <w:bCs/>
          <w:sz w:val="20"/>
          <w:szCs w:val="20"/>
        </w:rPr>
      </w:pPr>
      <w:r w:rsidRPr="00234AEE">
        <w:rPr>
          <w:rFonts w:ascii="Verdana" w:hAnsi="Verdana"/>
          <w:bCs/>
          <w:sz w:val="20"/>
          <w:szCs w:val="20"/>
        </w:rPr>
        <w:t>The US approach of grading at unit/sub-unit level using letter grades A+ to F would be</w:t>
      </w:r>
      <w:r w:rsidR="00234AEE">
        <w:rPr>
          <w:rFonts w:ascii="Verdana" w:hAnsi="Verdana"/>
          <w:bCs/>
          <w:sz w:val="20"/>
          <w:szCs w:val="20"/>
        </w:rPr>
        <w:t xml:space="preserve"> introduced</w:t>
      </w:r>
      <w:r w:rsidRPr="00234AEE">
        <w:rPr>
          <w:rFonts w:ascii="Verdana" w:hAnsi="Verdana"/>
          <w:bCs/>
          <w:sz w:val="20"/>
          <w:szCs w:val="20"/>
        </w:rPr>
        <w:t xml:space="preserve">. The details of marking practice would be up to each institution and its external examiners, as is the case now. The shorter </w:t>
      </w:r>
      <w:r w:rsidR="00391570" w:rsidRPr="00234AEE">
        <w:rPr>
          <w:rFonts w:ascii="Verdana" w:hAnsi="Verdana"/>
          <w:bCs/>
          <w:sz w:val="20"/>
          <w:szCs w:val="20"/>
        </w:rPr>
        <w:t xml:space="preserve">GPA </w:t>
      </w:r>
      <w:r w:rsidRPr="00234AEE">
        <w:rPr>
          <w:rFonts w:ascii="Verdana" w:hAnsi="Verdana"/>
          <w:bCs/>
          <w:sz w:val="20"/>
          <w:szCs w:val="20"/>
        </w:rPr>
        <w:t xml:space="preserve">scale should enhance comparability between disciplines currently characterised by quite divergent disciplinary marking traditions. </w:t>
      </w:r>
    </w:p>
    <w:p w:rsidR="005E0857" w:rsidRPr="00E809AF" w:rsidRDefault="005A01B0" w:rsidP="00E809AF">
      <w:pPr>
        <w:numPr>
          <w:ilvl w:val="0"/>
          <w:numId w:val="3"/>
        </w:numPr>
        <w:rPr>
          <w:rFonts w:ascii="Verdana" w:hAnsi="Verdana"/>
          <w:bCs/>
          <w:sz w:val="20"/>
          <w:szCs w:val="20"/>
        </w:rPr>
      </w:pPr>
      <w:r w:rsidRPr="00234AEE">
        <w:rPr>
          <w:rFonts w:ascii="Verdana" w:hAnsi="Verdana"/>
          <w:bCs/>
          <w:sz w:val="20"/>
          <w:szCs w:val="20"/>
        </w:rPr>
        <w:t xml:space="preserve">UK graduates competing </w:t>
      </w:r>
      <w:r w:rsidR="00391570" w:rsidRPr="00234AEE">
        <w:rPr>
          <w:rFonts w:ascii="Verdana" w:hAnsi="Verdana"/>
          <w:bCs/>
          <w:sz w:val="20"/>
          <w:szCs w:val="20"/>
        </w:rPr>
        <w:t xml:space="preserve">internationally </w:t>
      </w:r>
      <w:r w:rsidRPr="00234AEE">
        <w:rPr>
          <w:rFonts w:ascii="Verdana" w:hAnsi="Verdana"/>
          <w:bCs/>
          <w:sz w:val="20"/>
          <w:szCs w:val="20"/>
        </w:rPr>
        <w:t>for jobs, postgraduate study, or funding</w:t>
      </w:r>
      <w:r w:rsidR="00EC3D45">
        <w:rPr>
          <w:rFonts w:ascii="Verdana" w:hAnsi="Verdana"/>
          <w:bCs/>
          <w:sz w:val="20"/>
          <w:szCs w:val="20"/>
        </w:rPr>
        <w:t xml:space="preserve"> would not be disadvantaged</w:t>
      </w:r>
      <w:r w:rsidRPr="00234AEE">
        <w:rPr>
          <w:rFonts w:ascii="Verdana" w:hAnsi="Verdana"/>
          <w:bCs/>
          <w:sz w:val="20"/>
          <w:szCs w:val="20"/>
        </w:rPr>
        <w:t>. Although</w:t>
      </w:r>
      <w:r w:rsidR="00EC3D45">
        <w:rPr>
          <w:rFonts w:ascii="Verdana" w:hAnsi="Verdana"/>
          <w:bCs/>
          <w:sz w:val="20"/>
          <w:szCs w:val="20"/>
        </w:rPr>
        <w:t>,</w:t>
      </w:r>
      <w:r w:rsidRPr="00234AEE">
        <w:rPr>
          <w:rFonts w:ascii="Verdana" w:hAnsi="Verdana"/>
          <w:bCs/>
          <w:sz w:val="20"/>
          <w:szCs w:val="20"/>
        </w:rPr>
        <w:t xml:space="preserve"> in principle</w:t>
      </w:r>
      <w:r w:rsidR="00EC3D45">
        <w:rPr>
          <w:rFonts w:ascii="Verdana" w:hAnsi="Verdana"/>
          <w:bCs/>
          <w:sz w:val="20"/>
          <w:szCs w:val="20"/>
        </w:rPr>
        <w:t>,</w:t>
      </w:r>
      <w:r w:rsidRPr="00234AEE">
        <w:rPr>
          <w:rFonts w:ascii="Verdana" w:hAnsi="Verdana"/>
          <w:bCs/>
          <w:sz w:val="20"/>
          <w:szCs w:val="20"/>
        </w:rPr>
        <w:t xml:space="preserve"> the group wanted to avoid "conversion charts", it was agreed to define the bottom of 2:1 as equivalent to 3.00. This point can serve as a key "hinge" between degree classifications and GPA. However, what GPA allows which degree classifications do not is an understanding that many graduates currently in the 2:1 range will do cons</w:t>
      </w:r>
      <w:r w:rsidR="00391570" w:rsidRPr="00234AEE">
        <w:rPr>
          <w:rFonts w:ascii="Verdana" w:hAnsi="Verdana"/>
          <w:bCs/>
          <w:sz w:val="20"/>
          <w:szCs w:val="20"/>
        </w:rPr>
        <w:t>iderably better than 3.00, whilst</w:t>
      </w:r>
      <w:r w:rsidRPr="00234AEE">
        <w:rPr>
          <w:rFonts w:ascii="Verdana" w:hAnsi="Verdana"/>
          <w:bCs/>
          <w:sz w:val="20"/>
          <w:szCs w:val="20"/>
        </w:rPr>
        <w:t xml:space="preserve"> many people currently in the 2:2 range will have performed only marginally more poorly than their 2:1 peers. </w:t>
      </w:r>
    </w:p>
    <w:p w:rsidR="00A55BA2" w:rsidRPr="00A55BA2" w:rsidRDefault="00391570" w:rsidP="00A55BA2">
      <w:pPr>
        <w:numPr>
          <w:ilvl w:val="0"/>
          <w:numId w:val="3"/>
        </w:numPr>
        <w:rPr>
          <w:rFonts w:ascii="Verdana" w:hAnsi="Verdana"/>
          <w:bCs/>
          <w:i/>
          <w:sz w:val="20"/>
          <w:szCs w:val="20"/>
        </w:rPr>
      </w:pPr>
      <w:r w:rsidRPr="00E809AF">
        <w:rPr>
          <w:rFonts w:ascii="Verdana" w:hAnsi="Verdana"/>
          <w:bCs/>
          <w:sz w:val="20"/>
          <w:szCs w:val="20"/>
        </w:rPr>
        <w:t xml:space="preserve">Spreading the GPA scale differently across the letter grades led to the conclusion that the 0.33 (or 0.3/0.4) steps universally used between each grade point in the US were not appropriate. The group proposed a 0.25 step between each grading point except at the lower end, where some bunching is inevitable to avoid a meaninglessly long scale. </w:t>
      </w:r>
    </w:p>
    <w:p w:rsidR="00E809AF" w:rsidRDefault="005A01B0" w:rsidP="00E809AF">
      <w:pPr>
        <w:numPr>
          <w:ilvl w:val="0"/>
          <w:numId w:val="3"/>
        </w:numPr>
        <w:rPr>
          <w:rFonts w:ascii="Verdana" w:hAnsi="Verdana"/>
          <w:bCs/>
          <w:sz w:val="20"/>
          <w:szCs w:val="20"/>
        </w:rPr>
      </w:pPr>
      <w:r w:rsidRPr="00E809AF">
        <w:rPr>
          <w:rFonts w:ascii="Verdana" w:hAnsi="Verdana"/>
          <w:bCs/>
          <w:sz w:val="20"/>
          <w:szCs w:val="20"/>
        </w:rPr>
        <w:t xml:space="preserve">One initial attraction of GPA for the group was its ability to recognise very high achievement. With this in mind, the group decided to adopt the practice of a minority of US institutions and recognise A+ with more points than A. Hong Kong universities have also taken this step. </w:t>
      </w:r>
    </w:p>
    <w:p w:rsidR="00391570" w:rsidRPr="00E809AF" w:rsidRDefault="00391570" w:rsidP="00E809AF">
      <w:pPr>
        <w:numPr>
          <w:ilvl w:val="0"/>
          <w:numId w:val="3"/>
        </w:numPr>
        <w:rPr>
          <w:rFonts w:ascii="Verdana" w:hAnsi="Verdana"/>
          <w:bCs/>
          <w:sz w:val="20"/>
          <w:szCs w:val="20"/>
        </w:rPr>
      </w:pPr>
      <w:r w:rsidRPr="00E809AF">
        <w:rPr>
          <w:rFonts w:ascii="Verdana" w:hAnsi="Verdana"/>
          <w:bCs/>
          <w:sz w:val="20"/>
          <w:szCs w:val="20"/>
        </w:rPr>
        <w:lastRenderedPageBreak/>
        <w:t>The UK concept of “marginal fail” was added to the bottom of the marking scale and called D-. Many US universities do not anyway award credit for D- grades.</w:t>
      </w:r>
    </w:p>
    <w:p w:rsidR="0095145C" w:rsidRPr="00234AEE" w:rsidRDefault="00234AEE" w:rsidP="00391570">
      <w:pPr>
        <w:rPr>
          <w:rFonts w:ascii="Verdana" w:hAnsi="Verdana"/>
          <w:bCs/>
          <w:sz w:val="20"/>
          <w:szCs w:val="20"/>
        </w:rPr>
      </w:pPr>
      <w:r>
        <w:rPr>
          <w:rFonts w:ascii="Verdana" w:hAnsi="Verdana"/>
          <w:bCs/>
          <w:sz w:val="20"/>
          <w:szCs w:val="20"/>
        </w:rPr>
        <w:t xml:space="preserve">The model that </w:t>
      </w:r>
      <w:r w:rsidR="00B93AFE">
        <w:rPr>
          <w:rFonts w:ascii="Verdana" w:hAnsi="Verdana"/>
          <w:bCs/>
          <w:sz w:val="20"/>
          <w:szCs w:val="20"/>
        </w:rPr>
        <w:t>was</w:t>
      </w:r>
      <w:r>
        <w:rPr>
          <w:rFonts w:ascii="Verdana" w:hAnsi="Verdana"/>
          <w:bCs/>
          <w:sz w:val="20"/>
          <w:szCs w:val="20"/>
        </w:rPr>
        <w:t xml:space="preserve"> proposed </w:t>
      </w:r>
      <w:r w:rsidR="00B93AFE">
        <w:rPr>
          <w:rFonts w:ascii="Verdana" w:hAnsi="Verdana"/>
          <w:bCs/>
          <w:sz w:val="20"/>
          <w:szCs w:val="20"/>
        </w:rPr>
        <w:t xml:space="preserve">by the group in early 2012 </w:t>
      </w:r>
      <w:r>
        <w:rPr>
          <w:rFonts w:ascii="Verdana" w:hAnsi="Verdana"/>
          <w:bCs/>
          <w:sz w:val="20"/>
          <w:szCs w:val="20"/>
        </w:rPr>
        <w:t>as a result of these deliberations is as follows:</w:t>
      </w:r>
    </w:p>
    <w:tbl>
      <w:tblPr>
        <w:tblW w:w="8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2"/>
        <w:gridCol w:w="2361"/>
        <w:gridCol w:w="1936"/>
        <w:gridCol w:w="1914"/>
      </w:tblGrid>
      <w:tr w:rsidR="0095145C" w:rsidRPr="00234AEE">
        <w:tc>
          <w:tcPr>
            <w:tcW w:w="2072" w:type="dxa"/>
            <w:tcBorders>
              <w:top w:val="single" w:sz="4" w:space="0" w:color="auto"/>
              <w:left w:val="single" w:sz="4" w:space="0" w:color="auto"/>
              <w:bottom w:val="single" w:sz="4" w:space="0" w:color="auto"/>
              <w:right w:val="single" w:sz="4" w:space="0" w:color="auto"/>
            </w:tcBorders>
            <w:shd w:val="clear" w:color="auto" w:fill="DBE5F1"/>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Grade</w:t>
            </w:r>
          </w:p>
        </w:tc>
        <w:tc>
          <w:tcPr>
            <w:tcW w:w="2361" w:type="dxa"/>
            <w:tcBorders>
              <w:top w:val="single" w:sz="4" w:space="0" w:color="auto"/>
              <w:left w:val="single" w:sz="4" w:space="0" w:color="auto"/>
              <w:bottom w:val="single" w:sz="4" w:space="0" w:color="auto"/>
              <w:right w:val="single" w:sz="4" w:space="0" w:color="auto"/>
            </w:tcBorders>
            <w:shd w:val="clear" w:color="auto" w:fill="DBE5F1"/>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Standard</w:t>
            </w:r>
          </w:p>
        </w:tc>
        <w:tc>
          <w:tcPr>
            <w:tcW w:w="1936" w:type="dxa"/>
            <w:tcBorders>
              <w:top w:val="single" w:sz="4" w:space="0" w:color="auto"/>
              <w:left w:val="single" w:sz="4" w:space="0" w:color="auto"/>
              <w:bottom w:val="single" w:sz="4" w:space="0" w:color="auto"/>
              <w:right w:val="single" w:sz="4" w:space="0" w:color="auto"/>
            </w:tcBorders>
            <w:shd w:val="clear" w:color="auto" w:fill="DBE5F1"/>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Grade Point</w:t>
            </w:r>
          </w:p>
        </w:tc>
        <w:tc>
          <w:tcPr>
            <w:tcW w:w="1914" w:type="dxa"/>
            <w:tcBorders>
              <w:top w:val="single" w:sz="4" w:space="0" w:color="auto"/>
              <w:left w:val="single" w:sz="4" w:space="0" w:color="auto"/>
              <w:bottom w:val="single" w:sz="4" w:space="0" w:color="auto"/>
              <w:right w:val="single" w:sz="4" w:space="0" w:color="auto"/>
            </w:tcBorders>
            <w:shd w:val="clear" w:color="auto" w:fill="DBE5F1"/>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UK current descriptor</w:t>
            </w:r>
          </w:p>
        </w:tc>
      </w:tr>
      <w:tr w:rsidR="0095145C" w:rsidRPr="00234AEE">
        <w:tc>
          <w:tcPr>
            <w:tcW w:w="2072" w:type="dxa"/>
            <w:tcBorders>
              <w:top w:val="single" w:sz="4" w:space="0" w:color="auto"/>
              <w:left w:val="single" w:sz="4" w:space="0" w:color="auto"/>
              <w:bottom w:val="single" w:sz="4" w:space="0" w:color="auto"/>
              <w:right w:val="single" w:sz="4" w:space="0" w:color="auto"/>
            </w:tcBorders>
            <w:shd w:val="clear" w:color="auto" w:fill="E5B8B7"/>
            <w:vAlign w:val="center"/>
          </w:tcPr>
          <w:p w:rsidR="0095145C" w:rsidRPr="00234AEE" w:rsidRDefault="005A01B0">
            <w:pPr>
              <w:spacing w:after="0" w:line="240" w:lineRule="auto"/>
              <w:jc w:val="center"/>
              <w:rPr>
                <w:rFonts w:ascii="Verdana" w:hAnsi="Verdana"/>
                <w:b/>
                <w:bCs/>
                <w:sz w:val="20"/>
                <w:szCs w:val="20"/>
              </w:rPr>
            </w:pPr>
            <w:r w:rsidRPr="00234AEE">
              <w:rPr>
                <w:rFonts w:ascii="Verdana" w:hAnsi="Verdana"/>
                <w:b/>
                <w:bCs/>
                <w:sz w:val="20"/>
                <w:szCs w:val="20"/>
              </w:rPr>
              <w:t>A+</w:t>
            </w:r>
          </w:p>
        </w:tc>
        <w:tc>
          <w:tcPr>
            <w:tcW w:w="2361" w:type="dxa"/>
            <w:tcBorders>
              <w:top w:val="single" w:sz="4" w:space="0" w:color="auto"/>
              <w:left w:val="single" w:sz="4" w:space="0" w:color="auto"/>
              <w:bottom w:val="single" w:sz="4" w:space="0" w:color="auto"/>
              <w:right w:val="single" w:sz="4" w:space="0" w:color="auto"/>
            </w:tcBorders>
            <w:shd w:val="clear" w:color="auto" w:fill="E5B8B7"/>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Excellent</w:t>
            </w:r>
          </w:p>
        </w:tc>
        <w:tc>
          <w:tcPr>
            <w:tcW w:w="1936" w:type="dxa"/>
            <w:tcBorders>
              <w:top w:val="single" w:sz="4" w:space="0" w:color="auto"/>
              <w:left w:val="single" w:sz="4" w:space="0" w:color="auto"/>
              <w:bottom w:val="single" w:sz="4" w:space="0" w:color="auto"/>
              <w:right w:val="single" w:sz="4" w:space="0" w:color="auto"/>
            </w:tcBorders>
            <w:shd w:val="clear" w:color="auto" w:fill="E5B8B7"/>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4.25</w:t>
            </w:r>
          </w:p>
        </w:tc>
        <w:tc>
          <w:tcPr>
            <w:tcW w:w="1914" w:type="dxa"/>
            <w:tcBorders>
              <w:top w:val="single" w:sz="4" w:space="0" w:color="auto"/>
              <w:left w:val="single" w:sz="4" w:space="0" w:color="auto"/>
              <w:bottom w:val="single" w:sz="4" w:space="0" w:color="auto"/>
              <w:right w:val="single" w:sz="4" w:space="0" w:color="auto"/>
            </w:tcBorders>
            <w:shd w:val="clear" w:color="auto" w:fill="E5B8B7"/>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Top 1</w:t>
            </w:r>
            <w:r w:rsidRPr="00224456">
              <w:rPr>
                <w:rFonts w:ascii="Verdana" w:hAnsi="Verdana"/>
                <w:sz w:val="20"/>
                <w:szCs w:val="20"/>
                <w:vertAlign w:val="superscript"/>
              </w:rPr>
              <w:t>st</w:t>
            </w:r>
          </w:p>
        </w:tc>
      </w:tr>
      <w:tr w:rsidR="0095145C" w:rsidRPr="00234AEE">
        <w:tc>
          <w:tcPr>
            <w:tcW w:w="2072" w:type="dxa"/>
            <w:tcBorders>
              <w:top w:val="single" w:sz="4" w:space="0" w:color="auto"/>
              <w:left w:val="single" w:sz="4" w:space="0" w:color="auto"/>
              <w:bottom w:val="single" w:sz="4" w:space="0" w:color="auto"/>
              <w:right w:val="single" w:sz="4" w:space="0" w:color="auto"/>
            </w:tcBorders>
            <w:shd w:val="clear" w:color="auto" w:fill="E5B8B7"/>
            <w:vAlign w:val="center"/>
          </w:tcPr>
          <w:p w:rsidR="0095145C" w:rsidRPr="00234AEE" w:rsidRDefault="005A01B0">
            <w:pPr>
              <w:spacing w:after="0" w:line="240" w:lineRule="auto"/>
              <w:jc w:val="center"/>
              <w:rPr>
                <w:rFonts w:ascii="Verdana" w:hAnsi="Verdana"/>
                <w:b/>
                <w:bCs/>
                <w:sz w:val="20"/>
                <w:szCs w:val="20"/>
              </w:rPr>
            </w:pPr>
            <w:r w:rsidRPr="00234AEE">
              <w:rPr>
                <w:rFonts w:ascii="Verdana" w:hAnsi="Verdana"/>
                <w:b/>
                <w:bCs/>
                <w:sz w:val="20"/>
                <w:szCs w:val="20"/>
              </w:rPr>
              <w:t>A</w:t>
            </w:r>
          </w:p>
        </w:tc>
        <w:tc>
          <w:tcPr>
            <w:tcW w:w="2361" w:type="dxa"/>
            <w:tcBorders>
              <w:top w:val="single" w:sz="4" w:space="0" w:color="auto"/>
              <w:left w:val="single" w:sz="4" w:space="0" w:color="auto"/>
              <w:bottom w:val="single" w:sz="4" w:space="0" w:color="auto"/>
              <w:right w:val="single" w:sz="4" w:space="0" w:color="auto"/>
            </w:tcBorders>
            <w:shd w:val="clear" w:color="auto" w:fill="E5B8B7"/>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Excellent</w:t>
            </w:r>
          </w:p>
        </w:tc>
        <w:tc>
          <w:tcPr>
            <w:tcW w:w="1936" w:type="dxa"/>
            <w:tcBorders>
              <w:top w:val="single" w:sz="4" w:space="0" w:color="auto"/>
              <w:left w:val="single" w:sz="4" w:space="0" w:color="auto"/>
              <w:bottom w:val="single" w:sz="4" w:space="0" w:color="auto"/>
              <w:right w:val="single" w:sz="4" w:space="0" w:color="auto"/>
            </w:tcBorders>
            <w:shd w:val="clear" w:color="auto" w:fill="E5B8B7"/>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4.00</w:t>
            </w:r>
          </w:p>
        </w:tc>
        <w:tc>
          <w:tcPr>
            <w:tcW w:w="1914" w:type="dxa"/>
            <w:tcBorders>
              <w:top w:val="single" w:sz="4" w:space="0" w:color="auto"/>
              <w:left w:val="single" w:sz="4" w:space="0" w:color="auto"/>
              <w:bottom w:val="single" w:sz="4" w:space="0" w:color="auto"/>
              <w:right w:val="single" w:sz="4" w:space="0" w:color="auto"/>
            </w:tcBorders>
            <w:shd w:val="clear" w:color="auto" w:fill="E5B8B7"/>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Good 1</w:t>
            </w:r>
            <w:r w:rsidRPr="00224456">
              <w:rPr>
                <w:rFonts w:ascii="Verdana" w:hAnsi="Verdana"/>
                <w:sz w:val="20"/>
                <w:szCs w:val="20"/>
                <w:vertAlign w:val="superscript"/>
              </w:rPr>
              <w:t>st</w:t>
            </w:r>
          </w:p>
        </w:tc>
      </w:tr>
      <w:tr w:rsidR="0095145C" w:rsidRPr="00234AEE">
        <w:tc>
          <w:tcPr>
            <w:tcW w:w="2072" w:type="dxa"/>
            <w:tcBorders>
              <w:top w:val="single" w:sz="4" w:space="0" w:color="auto"/>
              <w:left w:val="single" w:sz="4" w:space="0" w:color="auto"/>
              <w:bottom w:val="single" w:sz="4" w:space="0" w:color="auto"/>
              <w:right w:val="single" w:sz="4" w:space="0" w:color="auto"/>
            </w:tcBorders>
            <w:shd w:val="clear" w:color="auto" w:fill="E5B8B7"/>
            <w:vAlign w:val="center"/>
          </w:tcPr>
          <w:p w:rsidR="0095145C" w:rsidRPr="00234AEE" w:rsidRDefault="005A01B0">
            <w:pPr>
              <w:spacing w:after="0" w:line="240" w:lineRule="auto"/>
              <w:jc w:val="center"/>
              <w:rPr>
                <w:rFonts w:ascii="Verdana" w:hAnsi="Verdana"/>
                <w:b/>
                <w:bCs/>
                <w:sz w:val="20"/>
                <w:szCs w:val="20"/>
              </w:rPr>
            </w:pPr>
            <w:r w:rsidRPr="00234AEE">
              <w:rPr>
                <w:rFonts w:ascii="Verdana" w:hAnsi="Verdana"/>
                <w:b/>
                <w:bCs/>
                <w:sz w:val="20"/>
                <w:szCs w:val="20"/>
              </w:rPr>
              <w:t>A-</w:t>
            </w:r>
          </w:p>
        </w:tc>
        <w:tc>
          <w:tcPr>
            <w:tcW w:w="2361" w:type="dxa"/>
            <w:tcBorders>
              <w:top w:val="single" w:sz="4" w:space="0" w:color="auto"/>
              <w:left w:val="single" w:sz="4" w:space="0" w:color="auto"/>
              <w:bottom w:val="single" w:sz="4" w:space="0" w:color="auto"/>
              <w:right w:val="single" w:sz="4" w:space="0" w:color="auto"/>
            </w:tcBorders>
            <w:shd w:val="clear" w:color="auto" w:fill="E5B8B7"/>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Excellent</w:t>
            </w:r>
          </w:p>
        </w:tc>
        <w:tc>
          <w:tcPr>
            <w:tcW w:w="1936" w:type="dxa"/>
            <w:tcBorders>
              <w:top w:val="single" w:sz="4" w:space="0" w:color="auto"/>
              <w:left w:val="single" w:sz="4" w:space="0" w:color="auto"/>
              <w:bottom w:val="single" w:sz="4" w:space="0" w:color="auto"/>
              <w:right w:val="single" w:sz="4" w:space="0" w:color="auto"/>
            </w:tcBorders>
            <w:shd w:val="clear" w:color="auto" w:fill="E5B8B7"/>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3.75</w:t>
            </w:r>
          </w:p>
        </w:tc>
        <w:tc>
          <w:tcPr>
            <w:tcW w:w="1914" w:type="dxa"/>
            <w:tcBorders>
              <w:top w:val="single" w:sz="4" w:space="0" w:color="auto"/>
              <w:left w:val="single" w:sz="4" w:space="0" w:color="auto"/>
              <w:bottom w:val="single" w:sz="4" w:space="0" w:color="auto"/>
              <w:right w:val="single" w:sz="4" w:space="0" w:color="auto"/>
            </w:tcBorders>
            <w:shd w:val="clear" w:color="auto" w:fill="E5B8B7"/>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Low 1</w:t>
            </w:r>
            <w:r w:rsidRPr="00A55BA2">
              <w:rPr>
                <w:rFonts w:ascii="Verdana" w:hAnsi="Verdana"/>
                <w:sz w:val="20"/>
                <w:szCs w:val="20"/>
                <w:vertAlign w:val="superscript"/>
              </w:rPr>
              <w:t>st</w:t>
            </w:r>
          </w:p>
        </w:tc>
      </w:tr>
      <w:tr w:rsidR="0095145C" w:rsidRPr="00234AEE">
        <w:tc>
          <w:tcPr>
            <w:tcW w:w="2072" w:type="dxa"/>
            <w:tcBorders>
              <w:top w:val="single" w:sz="4" w:space="0" w:color="auto"/>
              <w:left w:val="single" w:sz="4" w:space="0" w:color="auto"/>
              <w:bottom w:val="single" w:sz="4" w:space="0" w:color="auto"/>
              <w:right w:val="single" w:sz="4" w:space="0" w:color="auto"/>
            </w:tcBorders>
            <w:vAlign w:val="center"/>
          </w:tcPr>
          <w:p w:rsidR="0095145C" w:rsidRPr="00234AEE" w:rsidRDefault="005A01B0">
            <w:pPr>
              <w:spacing w:after="0" w:line="240" w:lineRule="auto"/>
              <w:jc w:val="center"/>
              <w:rPr>
                <w:rFonts w:ascii="Verdana" w:hAnsi="Verdana"/>
                <w:b/>
                <w:bCs/>
                <w:sz w:val="20"/>
                <w:szCs w:val="20"/>
              </w:rPr>
            </w:pPr>
            <w:r w:rsidRPr="00234AEE">
              <w:rPr>
                <w:rFonts w:ascii="Verdana" w:hAnsi="Verdana"/>
                <w:b/>
                <w:bCs/>
                <w:sz w:val="20"/>
                <w:szCs w:val="20"/>
              </w:rPr>
              <w:t>B+</w:t>
            </w:r>
          </w:p>
        </w:tc>
        <w:tc>
          <w:tcPr>
            <w:tcW w:w="2361" w:type="dxa"/>
            <w:tcBorders>
              <w:top w:val="single" w:sz="4" w:space="0" w:color="auto"/>
              <w:left w:val="single" w:sz="4" w:space="0" w:color="auto"/>
              <w:bottom w:val="single" w:sz="4" w:space="0" w:color="auto"/>
              <w:right w:val="single" w:sz="4" w:space="0" w:color="auto"/>
            </w:tcBorders>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Good</w:t>
            </w:r>
          </w:p>
        </w:tc>
        <w:tc>
          <w:tcPr>
            <w:tcW w:w="1936" w:type="dxa"/>
            <w:tcBorders>
              <w:top w:val="single" w:sz="4" w:space="0" w:color="auto"/>
              <w:left w:val="single" w:sz="4" w:space="0" w:color="auto"/>
              <w:bottom w:val="single" w:sz="4" w:space="0" w:color="auto"/>
              <w:right w:val="single" w:sz="4" w:space="0" w:color="auto"/>
            </w:tcBorders>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3.50</w:t>
            </w:r>
          </w:p>
        </w:tc>
        <w:tc>
          <w:tcPr>
            <w:tcW w:w="1914" w:type="dxa"/>
            <w:tcBorders>
              <w:top w:val="single" w:sz="4" w:space="0" w:color="auto"/>
              <w:left w:val="single" w:sz="4" w:space="0" w:color="auto"/>
              <w:bottom w:val="single" w:sz="4" w:space="0" w:color="auto"/>
              <w:right w:val="single" w:sz="4" w:space="0" w:color="auto"/>
            </w:tcBorders>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High 2-1</w:t>
            </w:r>
          </w:p>
        </w:tc>
      </w:tr>
      <w:tr w:rsidR="0095145C" w:rsidRPr="00234AEE" w:rsidTr="009506A7">
        <w:tc>
          <w:tcPr>
            <w:tcW w:w="2072" w:type="dxa"/>
            <w:tcBorders>
              <w:top w:val="single" w:sz="4" w:space="0" w:color="auto"/>
              <w:left w:val="single" w:sz="4" w:space="0" w:color="auto"/>
              <w:bottom w:val="single" w:sz="4" w:space="0" w:color="auto"/>
              <w:right w:val="single" w:sz="4" w:space="0" w:color="auto"/>
            </w:tcBorders>
            <w:vAlign w:val="center"/>
          </w:tcPr>
          <w:p w:rsidR="0095145C" w:rsidRPr="00234AEE" w:rsidRDefault="005A01B0">
            <w:pPr>
              <w:spacing w:after="0" w:line="240" w:lineRule="auto"/>
              <w:jc w:val="center"/>
              <w:rPr>
                <w:rFonts w:ascii="Verdana" w:hAnsi="Verdana"/>
                <w:b/>
                <w:bCs/>
                <w:sz w:val="20"/>
                <w:szCs w:val="20"/>
              </w:rPr>
            </w:pPr>
            <w:r w:rsidRPr="00234AEE">
              <w:rPr>
                <w:rFonts w:ascii="Verdana" w:hAnsi="Verdana"/>
                <w:b/>
                <w:bCs/>
                <w:sz w:val="20"/>
                <w:szCs w:val="20"/>
              </w:rPr>
              <w:t>B</w:t>
            </w:r>
          </w:p>
        </w:tc>
        <w:tc>
          <w:tcPr>
            <w:tcW w:w="2361" w:type="dxa"/>
            <w:tcBorders>
              <w:top w:val="single" w:sz="4" w:space="0" w:color="auto"/>
              <w:left w:val="single" w:sz="4" w:space="0" w:color="auto"/>
              <w:bottom w:val="single" w:sz="4" w:space="0" w:color="auto"/>
              <w:right w:val="single" w:sz="4" w:space="0" w:color="auto"/>
            </w:tcBorders>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Good</w:t>
            </w:r>
          </w:p>
        </w:tc>
        <w:tc>
          <w:tcPr>
            <w:tcW w:w="1936" w:type="dxa"/>
            <w:tcBorders>
              <w:top w:val="single" w:sz="4" w:space="0" w:color="auto"/>
              <w:left w:val="single" w:sz="4" w:space="0" w:color="auto"/>
              <w:bottom w:val="single" w:sz="4" w:space="0" w:color="auto"/>
              <w:right w:val="single" w:sz="4" w:space="0" w:color="auto"/>
            </w:tcBorders>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3.25</w:t>
            </w:r>
          </w:p>
        </w:tc>
        <w:tc>
          <w:tcPr>
            <w:tcW w:w="1914" w:type="dxa"/>
            <w:tcBorders>
              <w:top w:val="single" w:sz="4" w:space="0" w:color="auto"/>
              <w:left w:val="single" w:sz="4" w:space="0" w:color="auto"/>
              <w:bottom w:val="single" w:sz="4" w:space="0" w:color="auto"/>
              <w:right w:val="single" w:sz="4" w:space="0" w:color="auto"/>
            </w:tcBorders>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Mid 2-1</w:t>
            </w:r>
          </w:p>
        </w:tc>
      </w:tr>
      <w:tr w:rsidR="0095145C" w:rsidRPr="00234AEE" w:rsidTr="009506A7">
        <w:tc>
          <w:tcPr>
            <w:tcW w:w="2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145C" w:rsidRPr="00234AEE" w:rsidRDefault="005A01B0">
            <w:pPr>
              <w:spacing w:after="0" w:line="240" w:lineRule="auto"/>
              <w:jc w:val="center"/>
              <w:rPr>
                <w:rFonts w:ascii="Verdana" w:hAnsi="Verdana"/>
                <w:b/>
                <w:bCs/>
                <w:sz w:val="20"/>
                <w:szCs w:val="20"/>
              </w:rPr>
            </w:pPr>
            <w:r w:rsidRPr="00234AEE">
              <w:rPr>
                <w:rFonts w:ascii="Verdana" w:hAnsi="Verdana"/>
                <w:b/>
                <w:bCs/>
                <w:sz w:val="20"/>
                <w:szCs w:val="20"/>
              </w:rPr>
              <w:t>B-</w:t>
            </w:r>
          </w:p>
        </w:tc>
        <w:tc>
          <w:tcPr>
            <w:tcW w:w="2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Good/Satisfactory</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3.00</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Low 2-1</w:t>
            </w:r>
          </w:p>
        </w:tc>
      </w:tr>
      <w:tr w:rsidR="0095145C" w:rsidRPr="00234AEE">
        <w:tc>
          <w:tcPr>
            <w:tcW w:w="2072" w:type="dxa"/>
            <w:tcBorders>
              <w:top w:val="single" w:sz="4" w:space="0" w:color="auto"/>
              <w:left w:val="single" w:sz="4" w:space="0" w:color="auto"/>
              <w:bottom w:val="single" w:sz="4" w:space="0" w:color="auto"/>
              <w:right w:val="single" w:sz="4" w:space="0" w:color="auto"/>
            </w:tcBorders>
            <w:shd w:val="clear" w:color="auto" w:fill="FBD4B4"/>
            <w:vAlign w:val="center"/>
          </w:tcPr>
          <w:p w:rsidR="0095145C" w:rsidRPr="00234AEE" w:rsidRDefault="005A01B0">
            <w:pPr>
              <w:spacing w:after="0" w:line="240" w:lineRule="auto"/>
              <w:jc w:val="center"/>
              <w:rPr>
                <w:rFonts w:ascii="Verdana" w:hAnsi="Verdana"/>
                <w:b/>
                <w:bCs/>
                <w:sz w:val="20"/>
                <w:szCs w:val="20"/>
              </w:rPr>
            </w:pPr>
            <w:r w:rsidRPr="00234AEE">
              <w:rPr>
                <w:rFonts w:ascii="Verdana" w:hAnsi="Verdana"/>
                <w:b/>
                <w:bCs/>
                <w:sz w:val="20"/>
                <w:szCs w:val="20"/>
              </w:rPr>
              <w:t>C+</w:t>
            </w:r>
          </w:p>
        </w:tc>
        <w:tc>
          <w:tcPr>
            <w:tcW w:w="2361" w:type="dxa"/>
            <w:tcBorders>
              <w:top w:val="single" w:sz="4" w:space="0" w:color="auto"/>
              <w:left w:val="single" w:sz="4" w:space="0" w:color="auto"/>
              <w:bottom w:val="single" w:sz="4" w:space="0" w:color="auto"/>
              <w:right w:val="single" w:sz="4" w:space="0" w:color="auto"/>
            </w:tcBorders>
            <w:shd w:val="clear" w:color="auto" w:fill="FBD4B4"/>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Satisfactory</w:t>
            </w:r>
          </w:p>
        </w:tc>
        <w:tc>
          <w:tcPr>
            <w:tcW w:w="1936" w:type="dxa"/>
            <w:tcBorders>
              <w:top w:val="single" w:sz="4" w:space="0" w:color="auto"/>
              <w:left w:val="single" w:sz="4" w:space="0" w:color="auto"/>
              <w:bottom w:val="single" w:sz="4" w:space="0" w:color="auto"/>
              <w:right w:val="single" w:sz="4" w:space="0" w:color="auto"/>
            </w:tcBorders>
            <w:shd w:val="clear" w:color="auto" w:fill="FBD4B4"/>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2.75</w:t>
            </w:r>
          </w:p>
        </w:tc>
        <w:tc>
          <w:tcPr>
            <w:tcW w:w="1914" w:type="dxa"/>
            <w:tcBorders>
              <w:top w:val="single" w:sz="4" w:space="0" w:color="auto"/>
              <w:left w:val="single" w:sz="4" w:space="0" w:color="auto"/>
              <w:bottom w:val="single" w:sz="4" w:space="0" w:color="auto"/>
              <w:right w:val="single" w:sz="4" w:space="0" w:color="auto"/>
            </w:tcBorders>
            <w:shd w:val="clear" w:color="auto" w:fill="FBD4B4"/>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High 2-2</w:t>
            </w:r>
          </w:p>
        </w:tc>
      </w:tr>
      <w:tr w:rsidR="0095145C" w:rsidRPr="00234AEE">
        <w:tc>
          <w:tcPr>
            <w:tcW w:w="2072" w:type="dxa"/>
            <w:tcBorders>
              <w:top w:val="single" w:sz="4" w:space="0" w:color="auto"/>
              <w:left w:val="single" w:sz="4" w:space="0" w:color="auto"/>
              <w:bottom w:val="single" w:sz="4" w:space="0" w:color="auto"/>
              <w:right w:val="single" w:sz="4" w:space="0" w:color="auto"/>
            </w:tcBorders>
            <w:shd w:val="clear" w:color="auto" w:fill="FBD4B4"/>
            <w:vAlign w:val="center"/>
          </w:tcPr>
          <w:p w:rsidR="0095145C" w:rsidRPr="00234AEE" w:rsidRDefault="005A01B0">
            <w:pPr>
              <w:spacing w:after="0" w:line="240" w:lineRule="auto"/>
              <w:jc w:val="center"/>
              <w:rPr>
                <w:rFonts w:ascii="Verdana" w:hAnsi="Verdana"/>
                <w:b/>
                <w:bCs/>
                <w:sz w:val="20"/>
                <w:szCs w:val="20"/>
              </w:rPr>
            </w:pPr>
            <w:r w:rsidRPr="00234AEE">
              <w:rPr>
                <w:rFonts w:ascii="Verdana" w:hAnsi="Verdana"/>
                <w:b/>
                <w:bCs/>
                <w:sz w:val="20"/>
                <w:szCs w:val="20"/>
              </w:rPr>
              <w:t>C</w:t>
            </w:r>
          </w:p>
        </w:tc>
        <w:tc>
          <w:tcPr>
            <w:tcW w:w="2361" w:type="dxa"/>
            <w:tcBorders>
              <w:top w:val="single" w:sz="4" w:space="0" w:color="auto"/>
              <w:left w:val="single" w:sz="4" w:space="0" w:color="auto"/>
              <w:bottom w:val="single" w:sz="4" w:space="0" w:color="auto"/>
              <w:right w:val="single" w:sz="4" w:space="0" w:color="auto"/>
            </w:tcBorders>
            <w:shd w:val="clear" w:color="auto" w:fill="FBD4B4"/>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Satisfactory</w:t>
            </w:r>
          </w:p>
        </w:tc>
        <w:tc>
          <w:tcPr>
            <w:tcW w:w="1936" w:type="dxa"/>
            <w:tcBorders>
              <w:top w:val="single" w:sz="4" w:space="0" w:color="auto"/>
              <w:left w:val="single" w:sz="4" w:space="0" w:color="auto"/>
              <w:bottom w:val="single" w:sz="4" w:space="0" w:color="auto"/>
              <w:right w:val="single" w:sz="4" w:space="0" w:color="auto"/>
            </w:tcBorders>
            <w:shd w:val="clear" w:color="auto" w:fill="FBD4B4"/>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2.50</w:t>
            </w:r>
          </w:p>
        </w:tc>
        <w:tc>
          <w:tcPr>
            <w:tcW w:w="1914" w:type="dxa"/>
            <w:tcBorders>
              <w:top w:val="single" w:sz="4" w:space="0" w:color="auto"/>
              <w:left w:val="single" w:sz="4" w:space="0" w:color="auto"/>
              <w:bottom w:val="single" w:sz="4" w:space="0" w:color="auto"/>
              <w:right w:val="single" w:sz="4" w:space="0" w:color="auto"/>
            </w:tcBorders>
            <w:shd w:val="clear" w:color="auto" w:fill="FBD4B4"/>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Mid 2-2</w:t>
            </w:r>
          </w:p>
        </w:tc>
      </w:tr>
      <w:tr w:rsidR="0095145C" w:rsidRPr="00234AEE">
        <w:tc>
          <w:tcPr>
            <w:tcW w:w="2072" w:type="dxa"/>
            <w:tcBorders>
              <w:top w:val="single" w:sz="4" w:space="0" w:color="auto"/>
              <w:left w:val="single" w:sz="4" w:space="0" w:color="auto"/>
              <w:bottom w:val="single" w:sz="4" w:space="0" w:color="auto"/>
              <w:right w:val="single" w:sz="4" w:space="0" w:color="auto"/>
            </w:tcBorders>
            <w:shd w:val="clear" w:color="auto" w:fill="FBD4B4"/>
            <w:vAlign w:val="center"/>
          </w:tcPr>
          <w:p w:rsidR="0095145C" w:rsidRPr="00234AEE" w:rsidRDefault="005A01B0">
            <w:pPr>
              <w:spacing w:after="0" w:line="240" w:lineRule="auto"/>
              <w:jc w:val="center"/>
              <w:rPr>
                <w:rFonts w:ascii="Verdana" w:hAnsi="Verdana"/>
                <w:b/>
                <w:bCs/>
                <w:sz w:val="20"/>
                <w:szCs w:val="20"/>
              </w:rPr>
            </w:pPr>
            <w:r w:rsidRPr="00234AEE">
              <w:rPr>
                <w:rFonts w:ascii="Verdana" w:hAnsi="Verdana"/>
                <w:b/>
                <w:bCs/>
                <w:sz w:val="20"/>
                <w:szCs w:val="20"/>
              </w:rPr>
              <w:t>C-</w:t>
            </w:r>
          </w:p>
        </w:tc>
        <w:tc>
          <w:tcPr>
            <w:tcW w:w="2361" w:type="dxa"/>
            <w:tcBorders>
              <w:top w:val="single" w:sz="4" w:space="0" w:color="auto"/>
              <w:left w:val="single" w:sz="4" w:space="0" w:color="auto"/>
              <w:bottom w:val="single" w:sz="4" w:space="0" w:color="auto"/>
              <w:right w:val="single" w:sz="4" w:space="0" w:color="auto"/>
            </w:tcBorders>
            <w:shd w:val="clear" w:color="auto" w:fill="FBD4B4"/>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Satisfactory</w:t>
            </w:r>
          </w:p>
        </w:tc>
        <w:tc>
          <w:tcPr>
            <w:tcW w:w="1936" w:type="dxa"/>
            <w:tcBorders>
              <w:top w:val="single" w:sz="4" w:space="0" w:color="auto"/>
              <w:left w:val="single" w:sz="4" w:space="0" w:color="auto"/>
              <w:bottom w:val="single" w:sz="4" w:space="0" w:color="auto"/>
              <w:right w:val="single" w:sz="4" w:space="0" w:color="auto"/>
            </w:tcBorders>
            <w:shd w:val="clear" w:color="auto" w:fill="FBD4B4"/>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2.25</w:t>
            </w:r>
          </w:p>
        </w:tc>
        <w:tc>
          <w:tcPr>
            <w:tcW w:w="1914" w:type="dxa"/>
            <w:tcBorders>
              <w:top w:val="single" w:sz="4" w:space="0" w:color="auto"/>
              <w:left w:val="single" w:sz="4" w:space="0" w:color="auto"/>
              <w:bottom w:val="single" w:sz="4" w:space="0" w:color="auto"/>
              <w:right w:val="single" w:sz="4" w:space="0" w:color="auto"/>
            </w:tcBorders>
            <w:shd w:val="clear" w:color="auto" w:fill="FBD4B4"/>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Low 2-2</w:t>
            </w:r>
          </w:p>
        </w:tc>
      </w:tr>
      <w:tr w:rsidR="0095145C" w:rsidRPr="00234AEE">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95145C" w:rsidRPr="00234AEE" w:rsidRDefault="005A01B0">
            <w:pPr>
              <w:spacing w:after="0" w:line="240" w:lineRule="auto"/>
              <w:jc w:val="center"/>
              <w:rPr>
                <w:rFonts w:ascii="Verdana" w:hAnsi="Verdana"/>
                <w:b/>
                <w:bCs/>
                <w:sz w:val="20"/>
                <w:szCs w:val="20"/>
              </w:rPr>
            </w:pPr>
            <w:r w:rsidRPr="00234AEE">
              <w:rPr>
                <w:rFonts w:ascii="Verdana" w:hAnsi="Verdana"/>
                <w:b/>
                <w:bCs/>
                <w:sz w:val="20"/>
                <w:szCs w:val="20"/>
              </w:rPr>
              <w:t>D+</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Adequate</w:t>
            </w: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2.00</w:t>
            </w:r>
          </w:p>
        </w:tc>
        <w:tc>
          <w:tcPr>
            <w:tcW w:w="1914" w:type="dxa"/>
            <w:tcBorders>
              <w:top w:val="single" w:sz="4" w:space="0" w:color="auto"/>
              <w:left w:val="single" w:sz="4" w:space="0" w:color="auto"/>
              <w:bottom w:val="single" w:sz="4" w:space="0" w:color="auto"/>
              <w:right w:val="single" w:sz="4" w:space="0" w:color="auto"/>
            </w:tcBorders>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3</w:t>
            </w:r>
            <w:r w:rsidRPr="00234AEE">
              <w:rPr>
                <w:rFonts w:ascii="Verdana" w:hAnsi="Verdana"/>
                <w:sz w:val="20"/>
                <w:szCs w:val="20"/>
                <w:vertAlign w:val="superscript"/>
              </w:rPr>
              <w:t>rd</w:t>
            </w:r>
          </w:p>
        </w:tc>
      </w:tr>
      <w:tr w:rsidR="0095145C" w:rsidRPr="00234AEE" w:rsidTr="00E6251F">
        <w:trPr>
          <w:trHeight w:val="302"/>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95145C" w:rsidRPr="00234AEE" w:rsidRDefault="005A01B0">
            <w:pPr>
              <w:spacing w:after="0" w:line="240" w:lineRule="auto"/>
              <w:jc w:val="center"/>
              <w:rPr>
                <w:rFonts w:ascii="Verdana" w:hAnsi="Verdana"/>
                <w:b/>
                <w:bCs/>
                <w:sz w:val="20"/>
                <w:szCs w:val="20"/>
              </w:rPr>
            </w:pPr>
            <w:r w:rsidRPr="00234AEE">
              <w:rPr>
                <w:rFonts w:ascii="Verdana" w:hAnsi="Verdana"/>
                <w:b/>
                <w:bCs/>
                <w:sz w:val="20"/>
                <w:szCs w:val="20"/>
              </w:rPr>
              <w:t>D</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Pass</w:t>
            </w: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1.00</w:t>
            </w:r>
          </w:p>
        </w:tc>
        <w:tc>
          <w:tcPr>
            <w:tcW w:w="1914" w:type="dxa"/>
            <w:tcBorders>
              <w:top w:val="single" w:sz="4" w:space="0" w:color="auto"/>
              <w:left w:val="single" w:sz="4" w:space="0" w:color="auto"/>
              <w:bottom w:val="single" w:sz="4" w:space="0" w:color="auto"/>
              <w:right w:val="single" w:sz="4" w:space="0" w:color="auto"/>
            </w:tcBorders>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Low 3</w:t>
            </w:r>
            <w:r w:rsidRPr="00234AEE">
              <w:rPr>
                <w:rFonts w:ascii="Verdana" w:hAnsi="Verdana"/>
                <w:sz w:val="20"/>
                <w:szCs w:val="20"/>
                <w:vertAlign w:val="superscript"/>
              </w:rPr>
              <w:t>rd</w:t>
            </w:r>
            <w:r w:rsidRPr="00234AEE">
              <w:rPr>
                <w:rFonts w:ascii="Verdana" w:hAnsi="Verdana"/>
                <w:sz w:val="20"/>
                <w:szCs w:val="20"/>
              </w:rPr>
              <w:t xml:space="preserve"> or pass</w:t>
            </w:r>
          </w:p>
        </w:tc>
      </w:tr>
      <w:tr w:rsidR="0095145C" w:rsidRPr="00234AEE">
        <w:tc>
          <w:tcPr>
            <w:tcW w:w="2072" w:type="dxa"/>
            <w:tcBorders>
              <w:top w:val="single" w:sz="4" w:space="0" w:color="auto"/>
              <w:left w:val="single" w:sz="4" w:space="0" w:color="auto"/>
              <w:bottom w:val="single" w:sz="4" w:space="0" w:color="auto"/>
              <w:right w:val="single" w:sz="4" w:space="0" w:color="auto"/>
            </w:tcBorders>
            <w:shd w:val="clear" w:color="auto" w:fill="D99594"/>
            <w:vAlign w:val="center"/>
          </w:tcPr>
          <w:p w:rsidR="0095145C" w:rsidRPr="00234AEE" w:rsidRDefault="005A01B0">
            <w:pPr>
              <w:spacing w:after="0" w:line="240" w:lineRule="auto"/>
              <w:jc w:val="center"/>
              <w:rPr>
                <w:rFonts w:ascii="Verdana" w:hAnsi="Verdana"/>
                <w:b/>
                <w:bCs/>
                <w:sz w:val="20"/>
                <w:szCs w:val="20"/>
              </w:rPr>
            </w:pPr>
            <w:r w:rsidRPr="00234AEE">
              <w:rPr>
                <w:rFonts w:ascii="Verdana" w:hAnsi="Verdana"/>
                <w:b/>
                <w:bCs/>
                <w:sz w:val="20"/>
                <w:szCs w:val="20"/>
              </w:rPr>
              <w:t>D-</w:t>
            </w:r>
          </w:p>
        </w:tc>
        <w:tc>
          <w:tcPr>
            <w:tcW w:w="2361" w:type="dxa"/>
            <w:tcBorders>
              <w:top w:val="single" w:sz="4" w:space="0" w:color="auto"/>
              <w:left w:val="single" w:sz="4" w:space="0" w:color="auto"/>
              <w:bottom w:val="single" w:sz="4" w:space="0" w:color="auto"/>
              <w:right w:val="single" w:sz="4" w:space="0" w:color="auto"/>
            </w:tcBorders>
            <w:shd w:val="clear" w:color="auto" w:fill="D99594"/>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Marginal Fail</w:t>
            </w:r>
          </w:p>
        </w:tc>
        <w:tc>
          <w:tcPr>
            <w:tcW w:w="1936" w:type="dxa"/>
            <w:tcBorders>
              <w:top w:val="single" w:sz="4" w:space="0" w:color="auto"/>
              <w:left w:val="single" w:sz="4" w:space="0" w:color="auto"/>
              <w:bottom w:val="single" w:sz="4" w:space="0" w:color="auto"/>
              <w:right w:val="single" w:sz="4" w:space="0" w:color="auto"/>
            </w:tcBorders>
            <w:shd w:val="clear" w:color="auto" w:fill="D99594"/>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0.50</w:t>
            </w:r>
          </w:p>
        </w:tc>
        <w:tc>
          <w:tcPr>
            <w:tcW w:w="1914" w:type="dxa"/>
            <w:tcBorders>
              <w:top w:val="single" w:sz="4" w:space="0" w:color="auto"/>
              <w:left w:val="single" w:sz="4" w:space="0" w:color="auto"/>
              <w:bottom w:val="single" w:sz="4" w:space="0" w:color="auto"/>
              <w:right w:val="single" w:sz="4" w:space="0" w:color="auto"/>
            </w:tcBorders>
            <w:shd w:val="clear" w:color="auto" w:fill="D99594"/>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Marginal Fail</w:t>
            </w:r>
          </w:p>
        </w:tc>
      </w:tr>
      <w:tr w:rsidR="0095145C" w:rsidRPr="00234AEE">
        <w:tc>
          <w:tcPr>
            <w:tcW w:w="2072" w:type="dxa"/>
            <w:tcBorders>
              <w:top w:val="single" w:sz="4" w:space="0" w:color="auto"/>
              <w:left w:val="single" w:sz="4" w:space="0" w:color="auto"/>
              <w:bottom w:val="single" w:sz="4" w:space="0" w:color="auto"/>
              <w:right w:val="single" w:sz="4" w:space="0" w:color="auto"/>
            </w:tcBorders>
            <w:shd w:val="clear" w:color="auto" w:fill="D99594"/>
            <w:vAlign w:val="center"/>
          </w:tcPr>
          <w:p w:rsidR="0095145C" w:rsidRPr="00234AEE" w:rsidRDefault="005A01B0">
            <w:pPr>
              <w:spacing w:after="0" w:line="240" w:lineRule="auto"/>
              <w:jc w:val="center"/>
              <w:rPr>
                <w:rFonts w:ascii="Verdana" w:hAnsi="Verdana"/>
                <w:b/>
                <w:bCs/>
                <w:sz w:val="20"/>
                <w:szCs w:val="20"/>
              </w:rPr>
            </w:pPr>
            <w:r w:rsidRPr="00234AEE">
              <w:rPr>
                <w:rFonts w:ascii="Verdana" w:hAnsi="Verdana"/>
                <w:b/>
                <w:bCs/>
                <w:sz w:val="20"/>
                <w:szCs w:val="20"/>
              </w:rPr>
              <w:t>F</w:t>
            </w:r>
          </w:p>
        </w:tc>
        <w:tc>
          <w:tcPr>
            <w:tcW w:w="2361" w:type="dxa"/>
            <w:tcBorders>
              <w:top w:val="single" w:sz="4" w:space="0" w:color="auto"/>
              <w:left w:val="single" w:sz="4" w:space="0" w:color="auto"/>
              <w:bottom w:val="single" w:sz="4" w:space="0" w:color="auto"/>
              <w:right w:val="single" w:sz="4" w:space="0" w:color="auto"/>
            </w:tcBorders>
            <w:shd w:val="clear" w:color="auto" w:fill="D99594"/>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Fail</w:t>
            </w:r>
          </w:p>
        </w:tc>
        <w:tc>
          <w:tcPr>
            <w:tcW w:w="1936" w:type="dxa"/>
            <w:tcBorders>
              <w:top w:val="single" w:sz="4" w:space="0" w:color="auto"/>
              <w:left w:val="single" w:sz="4" w:space="0" w:color="auto"/>
              <w:bottom w:val="single" w:sz="4" w:space="0" w:color="auto"/>
              <w:right w:val="single" w:sz="4" w:space="0" w:color="auto"/>
            </w:tcBorders>
            <w:shd w:val="clear" w:color="auto" w:fill="D99594"/>
            <w:vAlign w:val="center"/>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0.00</w:t>
            </w:r>
          </w:p>
        </w:tc>
        <w:tc>
          <w:tcPr>
            <w:tcW w:w="1914" w:type="dxa"/>
            <w:tcBorders>
              <w:top w:val="single" w:sz="4" w:space="0" w:color="auto"/>
              <w:left w:val="single" w:sz="4" w:space="0" w:color="auto"/>
              <w:bottom w:val="single" w:sz="4" w:space="0" w:color="auto"/>
              <w:right w:val="single" w:sz="4" w:space="0" w:color="auto"/>
            </w:tcBorders>
            <w:shd w:val="clear" w:color="auto" w:fill="D99594"/>
          </w:tcPr>
          <w:p w:rsidR="0095145C" w:rsidRPr="00234AEE" w:rsidRDefault="005A01B0">
            <w:pPr>
              <w:spacing w:after="0" w:line="240" w:lineRule="auto"/>
              <w:jc w:val="center"/>
              <w:rPr>
                <w:rFonts w:ascii="Verdana" w:hAnsi="Verdana"/>
                <w:sz w:val="20"/>
                <w:szCs w:val="20"/>
              </w:rPr>
            </w:pPr>
            <w:r w:rsidRPr="00234AEE">
              <w:rPr>
                <w:rFonts w:ascii="Verdana" w:hAnsi="Verdana"/>
                <w:sz w:val="20"/>
                <w:szCs w:val="20"/>
              </w:rPr>
              <w:t>Fail</w:t>
            </w:r>
          </w:p>
        </w:tc>
      </w:tr>
    </w:tbl>
    <w:p w:rsidR="0095145C" w:rsidRPr="00234AEE" w:rsidRDefault="00E6251F">
      <w:pPr>
        <w:rPr>
          <w:rFonts w:ascii="Verdana" w:hAnsi="Verdana"/>
          <w:bCs/>
          <w:i/>
          <w:sz w:val="20"/>
          <w:szCs w:val="20"/>
        </w:rPr>
      </w:pPr>
      <w:r w:rsidRPr="00234AEE">
        <w:rPr>
          <w:rFonts w:ascii="Verdana" w:hAnsi="Verdana"/>
          <w:bCs/>
          <w:i/>
          <w:sz w:val="20"/>
          <w:szCs w:val="20"/>
        </w:rPr>
        <w:t>Proposed UK GPA scale</w:t>
      </w:r>
    </w:p>
    <w:p w:rsidR="005138C4" w:rsidRPr="005138C4" w:rsidRDefault="005138C4">
      <w:pPr>
        <w:rPr>
          <w:rFonts w:ascii="Verdana" w:hAnsi="Verdana"/>
          <w:bCs/>
          <w:sz w:val="20"/>
          <w:szCs w:val="20"/>
        </w:rPr>
      </w:pPr>
      <w:r>
        <w:rPr>
          <w:rFonts w:ascii="Verdana" w:hAnsi="Verdana"/>
          <w:bCs/>
          <w:sz w:val="20"/>
          <w:szCs w:val="20"/>
        </w:rPr>
        <w:t xml:space="preserve">Statistical analysis undertaken by Nottingham and Birmingham of the application of the National Model to marks obtained by graduating students suggested that, for the most part, the GPA scores students would have gained reflected their actual degree class according to the above translation. </w:t>
      </w:r>
    </w:p>
    <w:p w:rsidR="00224456" w:rsidRDefault="00224456">
      <w:pPr>
        <w:rPr>
          <w:rFonts w:ascii="Verdana" w:hAnsi="Verdana"/>
          <w:b/>
          <w:bCs/>
          <w:sz w:val="20"/>
          <w:szCs w:val="20"/>
        </w:rPr>
      </w:pPr>
      <w:r>
        <w:rPr>
          <w:rFonts w:ascii="Verdana" w:hAnsi="Verdana"/>
          <w:b/>
          <w:bCs/>
          <w:sz w:val="20"/>
          <w:szCs w:val="20"/>
        </w:rPr>
        <w:t>Current Progress</w:t>
      </w:r>
    </w:p>
    <w:p w:rsidR="00224456" w:rsidRDefault="00D55C6E">
      <w:pPr>
        <w:rPr>
          <w:rFonts w:ascii="Verdana" w:hAnsi="Verdana"/>
          <w:bCs/>
          <w:sz w:val="20"/>
          <w:szCs w:val="20"/>
        </w:rPr>
      </w:pPr>
      <w:r>
        <w:rPr>
          <w:rFonts w:ascii="Verdana" w:hAnsi="Verdana"/>
          <w:bCs/>
          <w:sz w:val="20"/>
          <w:szCs w:val="20"/>
        </w:rPr>
        <w:t xml:space="preserve">Members of the group have been holding discussions within their own institutions regarding a move to the agreed model.  UCL </w:t>
      </w:r>
      <w:r w:rsidR="00B93AFE">
        <w:rPr>
          <w:rFonts w:ascii="Verdana" w:hAnsi="Verdana"/>
          <w:bCs/>
          <w:sz w:val="20"/>
          <w:szCs w:val="20"/>
        </w:rPr>
        <w:t>had already, in later 2011, made public its intention, subject t</w:t>
      </w:r>
      <w:r w:rsidR="00174A64">
        <w:rPr>
          <w:rFonts w:ascii="Verdana" w:hAnsi="Verdana"/>
          <w:bCs/>
          <w:sz w:val="20"/>
          <w:szCs w:val="20"/>
        </w:rPr>
        <w:t>o deliberations within the C</w:t>
      </w:r>
      <w:r w:rsidR="00B93AFE">
        <w:rPr>
          <w:rFonts w:ascii="Verdana" w:hAnsi="Verdana"/>
          <w:bCs/>
          <w:sz w:val="20"/>
          <w:szCs w:val="20"/>
        </w:rPr>
        <w:t xml:space="preserve">ollege, to adopt a GPA system.  The </w:t>
      </w:r>
      <w:r w:rsidR="00224456">
        <w:rPr>
          <w:rFonts w:ascii="Verdana" w:hAnsi="Verdana"/>
          <w:bCs/>
          <w:sz w:val="20"/>
          <w:szCs w:val="20"/>
        </w:rPr>
        <w:t xml:space="preserve">University of Nottingham </w:t>
      </w:r>
      <w:r w:rsidR="00B93AFE">
        <w:rPr>
          <w:rFonts w:ascii="Verdana" w:hAnsi="Verdana"/>
          <w:bCs/>
          <w:sz w:val="20"/>
          <w:szCs w:val="20"/>
        </w:rPr>
        <w:t>agreed, in principle, the</w:t>
      </w:r>
      <w:r w:rsidR="00224456">
        <w:rPr>
          <w:rFonts w:ascii="Verdana" w:hAnsi="Verdana"/>
          <w:bCs/>
          <w:sz w:val="20"/>
          <w:szCs w:val="20"/>
        </w:rPr>
        <w:t xml:space="preserve"> adoption of the above GPA model at the meeting of its Senate in June</w:t>
      </w:r>
      <w:r w:rsidR="00174A64">
        <w:rPr>
          <w:rFonts w:ascii="Verdana" w:hAnsi="Verdana"/>
          <w:bCs/>
          <w:sz w:val="20"/>
          <w:szCs w:val="20"/>
        </w:rPr>
        <w:t xml:space="preserve"> 2012;</w:t>
      </w:r>
      <w:r w:rsidR="00B93AFE">
        <w:rPr>
          <w:rFonts w:ascii="Verdana" w:hAnsi="Verdana"/>
          <w:bCs/>
          <w:sz w:val="20"/>
          <w:szCs w:val="20"/>
        </w:rPr>
        <w:t xml:space="preserve"> subject to a wider move to GPA within its mission group and future ratification by Senate</w:t>
      </w:r>
      <w:r w:rsidR="00224456">
        <w:rPr>
          <w:rFonts w:ascii="Verdana" w:hAnsi="Verdana"/>
          <w:bCs/>
          <w:sz w:val="20"/>
          <w:szCs w:val="20"/>
        </w:rPr>
        <w:t xml:space="preserve">.  </w:t>
      </w:r>
      <w:r w:rsidR="00174A64">
        <w:rPr>
          <w:rFonts w:ascii="Verdana" w:hAnsi="Verdana"/>
          <w:bCs/>
          <w:sz w:val="20"/>
          <w:szCs w:val="20"/>
        </w:rPr>
        <w:t>In the same month, the s</w:t>
      </w:r>
      <w:r w:rsidR="00B93AFE">
        <w:rPr>
          <w:rFonts w:ascii="Verdana" w:hAnsi="Verdana"/>
          <w:bCs/>
          <w:sz w:val="20"/>
          <w:szCs w:val="20"/>
        </w:rPr>
        <w:t xml:space="preserve">enates of both Birmingham and Sheffield approved further discussions and work on the adoption of GPA.  </w:t>
      </w:r>
      <w:r w:rsidR="00224456">
        <w:rPr>
          <w:rFonts w:ascii="Verdana" w:hAnsi="Verdana"/>
          <w:bCs/>
          <w:sz w:val="20"/>
          <w:szCs w:val="20"/>
        </w:rPr>
        <w:t xml:space="preserve">Other universities involved in the working group </w:t>
      </w:r>
      <w:r w:rsidR="00B93AFE">
        <w:rPr>
          <w:rFonts w:ascii="Verdana" w:hAnsi="Verdana"/>
          <w:bCs/>
          <w:sz w:val="20"/>
          <w:szCs w:val="20"/>
        </w:rPr>
        <w:t>have b</w:t>
      </w:r>
      <w:r w:rsidR="00174A64">
        <w:rPr>
          <w:rFonts w:ascii="Verdana" w:hAnsi="Verdana"/>
          <w:bCs/>
          <w:sz w:val="20"/>
          <w:szCs w:val="20"/>
        </w:rPr>
        <w:t>een continuing their intern</w:t>
      </w:r>
      <w:r w:rsidR="00B93AFE">
        <w:rPr>
          <w:rFonts w:ascii="Verdana" w:hAnsi="Verdana"/>
          <w:bCs/>
          <w:sz w:val="20"/>
          <w:szCs w:val="20"/>
        </w:rPr>
        <w:t>al deliberations.  In addition, the universities of</w:t>
      </w:r>
      <w:r w:rsidR="00150DB0">
        <w:rPr>
          <w:rFonts w:ascii="Verdana" w:hAnsi="Verdana"/>
          <w:bCs/>
          <w:sz w:val="20"/>
          <w:szCs w:val="20"/>
        </w:rPr>
        <w:t xml:space="preserve"> Bristol,</w:t>
      </w:r>
      <w:r w:rsidR="00B93AFE">
        <w:rPr>
          <w:rFonts w:ascii="Verdana" w:hAnsi="Verdana"/>
          <w:bCs/>
          <w:sz w:val="20"/>
          <w:szCs w:val="20"/>
        </w:rPr>
        <w:t xml:space="preserve"> Leeds</w:t>
      </w:r>
      <w:r w:rsidR="00150DB0">
        <w:rPr>
          <w:rFonts w:ascii="Verdana" w:hAnsi="Verdana"/>
          <w:bCs/>
          <w:sz w:val="20"/>
          <w:szCs w:val="20"/>
        </w:rPr>
        <w:t>, Manchester</w:t>
      </w:r>
      <w:r w:rsidR="00B93AFE">
        <w:rPr>
          <w:rFonts w:ascii="Verdana" w:hAnsi="Verdana"/>
          <w:bCs/>
          <w:sz w:val="20"/>
          <w:szCs w:val="20"/>
        </w:rPr>
        <w:t xml:space="preserve"> and Southampton, along with Kings College London and Oxford Brookes University</w:t>
      </w:r>
      <w:r w:rsidR="00174A64">
        <w:rPr>
          <w:rFonts w:ascii="Verdana" w:hAnsi="Verdana"/>
          <w:bCs/>
          <w:sz w:val="20"/>
          <w:szCs w:val="20"/>
        </w:rPr>
        <w:t>, have expressed a strong interest in the work of the group.</w:t>
      </w:r>
    </w:p>
    <w:p w:rsidR="00A55BA2" w:rsidRPr="00D55C6E" w:rsidRDefault="00E809AF" w:rsidP="00D55C6E">
      <w:pPr>
        <w:rPr>
          <w:rFonts w:ascii="Verdana" w:hAnsi="Verdana"/>
          <w:bCs/>
          <w:sz w:val="20"/>
          <w:szCs w:val="20"/>
        </w:rPr>
      </w:pPr>
      <w:r>
        <w:rPr>
          <w:rFonts w:ascii="Verdana" w:hAnsi="Verdana"/>
          <w:bCs/>
          <w:sz w:val="20"/>
          <w:szCs w:val="20"/>
        </w:rPr>
        <w:t xml:space="preserve">In order to inform the discussion at Nottingham, consultation </w:t>
      </w:r>
      <w:r w:rsidR="00174A64">
        <w:rPr>
          <w:rFonts w:ascii="Verdana" w:hAnsi="Verdana"/>
          <w:bCs/>
          <w:sz w:val="20"/>
          <w:szCs w:val="20"/>
        </w:rPr>
        <w:t xml:space="preserve">was undertaken </w:t>
      </w:r>
      <w:r>
        <w:rPr>
          <w:rFonts w:ascii="Verdana" w:hAnsi="Verdana"/>
          <w:bCs/>
          <w:sz w:val="20"/>
          <w:szCs w:val="20"/>
        </w:rPr>
        <w:t>with st</w:t>
      </w:r>
      <w:r w:rsidR="00174A64">
        <w:rPr>
          <w:rFonts w:ascii="Verdana" w:hAnsi="Verdana"/>
          <w:bCs/>
          <w:sz w:val="20"/>
          <w:szCs w:val="20"/>
        </w:rPr>
        <w:t xml:space="preserve">udents and employers, both </w:t>
      </w:r>
      <w:r>
        <w:rPr>
          <w:rFonts w:ascii="Verdana" w:hAnsi="Verdana"/>
          <w:bCs/>
          <w:sz w:val="20"/>
          <w:szCs w:val="20"/>
        </w:rPr>
        <w:t>in the UK and in</w:t>
      </w:r>
      <w:r w:rsidR="00174A64">
        <w:rPr>
          <w:rFonts w:ascii="Verdana" w:hAnsi="Verdana"/>
          <w:bCs/>
          <w:sz w:val="20"/>
          <w:szCs w:val="20"/>
        </w:rPr>
        <w:t xml:space="preserve"> China and Malaysia through its </w:t>
      </w:r>
      <w:r>
        <w:rPr>
          <w:rFonts w:ascii="Verdana" w:hAnsi="Verdana"/>
          <w:bCs/>
          <w:sz w:val="20"/>
          <w:szCs w:val="20"/>
        </w:rPr>
        <w:t>campuses in those countries.  Students are generally accepting of the arguments for change, though are keen for a number of UK</w:t>
      </w:r>
      <w:r w:rsidR="00174A64">
        <w:rPr>
          <w:rFonts w:ascii="Verdana" w:hAnsi="Verdana"/>
          <w:bCs/>
          <w:sz w:val="20"/>
          <w:szCs w:val="20"/>
        </w:rPr>
        <w:t xml:space="preserve"> universities to make the move</w:t>
      </w:r>
      <w:r>
        <w:rPr>
          <w:rFonts w:ascii="Verdana" w:hAnsi="Verdana"/>
          <w:bCs/>
          <w:sz w:val="20"/>
          <w:szCs w:val="20"/>
        </w:rPr>
        <w:t xml:space="preserve"> together, rather than to see Nottingham switching to a GPA system by itself.  </w:t>
      </w:r>
      <w:r w:rsidR="00174A64">
        <w:rPr>
          <w:rFonts w:ascii="Verdana" w:hAnsi="Verdana"/>
          <w:bCs/>
          <w:sz w:val="20"/>
          <w:szCs w:val="20"/>
        </w:rPr>
        <w:t xml:space="preserve">They would also wish to see GPA scores being mapped against traditional degree classes for a transitional period (an implementation principle accepted by Nottingham’s Senate).  </w:t>
      </w:r>
      <w:r>
        <w:rPr>
          <w:rFonts w:ascii="Verdana" w:hAnsi="Verdana"/>
          <w:bCs/>
          <w:sz w:val="20"/>
          <w:szCs w:val="20"/>
        </w:rPr>
        <w:t>Employers equally emphasise the importance of a broad move by universities to GPA in order to allow for comparisons between graduates; with this proviso, employers generally feel that their recruitment activities would not be significantly compromised by a shift to GPA.</w:t>
      </w:r>
    </w:p>
    <w:sectPr w:rsidR="00A55BA2" w:rsidRPr="00D55C6E" w:rsidSect="0095145C">
      <w:headerReference w:type="default" r:id="rId7"/>
      <w:footerReference w:type="default" r:id="rId8"/>
      <w:pgSz w:w="11906" w:h="16838"/>
      <w:pgMar w:top="1440" w:right="1440" w:bottom="1440" w:left="1440" w:header="708" w:footer="708" w:gutter="0"/>
      <w:cols w:sep="1"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AFE" w:rsidRDefault="00B93AFE" w:rsidP="00E762FB">
      <w:pPr>
        <w:spacing w:after="0" w:line="240" w:lineRule="auto"/>
      </w:pPr>
      <w:r>
        <w:separator/>
      </w:r>
    </w:p>
  </w:endnote>
  <w:endnote w:type="continuationSeparator" w:id="0">
    <w:p w:rsidR="00B93AFE" w:rsidRDefault="00B93AFE" w:rsidP="00E76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8818"/>
      <w:docPartObj>
        <w:docPartGallery w:val="Page Numbers (Bottom of Page)"/>
        <w:docPartUnique/>
      </w:docPartObj>
    </w:sdtPr>
    <w:sdtContent>
      <w:p w:rsidR="00B93AFE" w:rsidRDefault="00186600">
        <w:pPr>
          <w:pStyle w:val="Footer"/>
          <w:jc w:val="center"/>
        </w:pPr>
        <w:fldSimple w:instr=" PAGE   \* MERGEFORMAT ">
          <w:r w:rsidR="00EC3D45">
            <w:rPr>
              <w:noProof/>
            </w:rPr>
            <w:t>2</w:t>
          </w:r>
        </w:fldSimple>
      </w:p>
    </w:sdtContent>
  </w:sdt>
  <w:p w:rsidR="00B93AFE" w:rsidRDefault="00B93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AFE" w:rsidRDefault="00B93AFE" w:rsidP="00E762FB">
      <w:pPr>
        <w:spacing w:after="0" w:line="240" w:lineRule="auto"/>
      </w:pPr>
      <w:r>
        <w:separator/>
      </w:r>
    </w:p>
  </w:footnote>
  <w:footnote w:type="continuationSeparator" w:id="0">
    <w:p w:rsidR="00B93AFE" w:rsidRDefault="00B93AFE" w:rsidP="00E762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FE" w:rsidRDefault="00B93A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B10"/>
    <w:multiLevelType w:val="hybridMultilevel"/>
    <w:tmpl w:val="00000000"/>
    <w:lvl w:ilvl="0" w:tplc="FF865EBE">
      <w:start w:val="1"/>
      <w:numFmt w:val="decimal"/>
      <w:lvlText w:val="%1."/>
      <w:lvlJc w:val="left"/>
      <w:pPr>
        <w:tabs>
          <w:tab w:val="num" w:pos="720"/>
        </w:tabs>
        <w:ind w:left="720" w:hanging="360"/>
      </w:pPr>
    </w:lvl>
    <w:lvl w:ilvl="1" w:tplc="F490BA54">
      <w:start w:val="1"/>
      <w:numFmt w:val="lowerLetter"/>
      <w:lvlText w:val="%2."/>
      <w:lvlJc w:val="left"/>
      <w:pPr>
        <w:tabs>
          <w:tab w:val="num" w:pos="1440"/>
        </w:tabs>
        <w:ind w:left="1440" w:hanging="360"/>
      </w:pPr>
    </w:lvl>
    <w:lvl w:ilvl="2" w:tplc="BE80D0F6">
      <w:start w:val="1"/>
      <w:numFmt w:val="lowerRoman"/>
      <w:lvlText w:val="%3."/>
      <w:lvlJc w:val="left"/>
      <w:pPr>
        <w:tabs>
          <w:tab w:val="num" w:pos="2160"/>
        </w:tabs>
        <w:ind w:left="2160" w:hanging="360"/>
      </w:pPr>
    </w:lvl>
    <w:lvl w:ilvl="3" w:tplc="238E771C">
      <w:start w:val="1"/>
      <w:numFmt w:val="decimal"/>
      <w:lvlText w:val="%4."/>
      <w:lvlJc w:val="left"/>
      <w:pPr>
        <w:tabs>
          <w:tab w:val="num" w:pos="2880"/>
        </w:tabs>
        <w:ind w:left="2880" w:hanging="360"/>
      </w:pPr>
    </w:lvl>
    <w:lvl w:ilvl="4" w:tplc="D716E2E8">
      <w:start w:val="1"/>
      <w:numFmt w:val="lowerLetter"/>
      <w:lvlText w:val="%5."/>
      <w:lvlJc w:val="left"/>
      <w:pPr>
        <w:tabs>
          <w:tab w:val="num" w:pos="3600"/>
        </w:tabs>
        <w:ind w:left="3600" w:hanging="360"/>
      </w:pPr>
    </w:lvl>
    <w:lvl w:ilvl="5" w:tplc="739ED8AC">
      <w:start w:val="1"/>
      <w:numFmt w:val="lowerRoman"/>
      <w:lvlText w:val="%6."/>
      <w:lvlJc w:val="left"/>
      <w:pPr>
        <w:tabs>
          <w:tab w:val="num" w:pos="4320"/>
        </w:tabs>
        <w:ind w:left="4320" w:hanging="360"/>
      </w:pPr>
    </w:lvl>
    <w:lvl w:ilvl="6" w:tplc="CFFEC046">
      <w:start w:val="1"/>
      <w:numFmt w:val="decimal"/>
      <w:lvlText w:val="%7."/>
      <w:lvlJc w:val="left"/>
      <w:pPr>
        <w:tabs>
          <w:tab w:val="num" w:pos="5040"/>
        </w:tabs>
        <w:ind w:left="5040" w:hanging="360"/>
      </w:pPr>
    </w:lvl>
    <w:lvl w:ilvl="7" w:tplc="E6781598">
      <w:start w:val="1"/>
      <w:numFmt w:val="lowerLetter"/>
      <w:lvlText w:val="%8."/>
      <w:lvlJc w:val="left"/>
      <w:pPr>
        <w:tabs>
          <w:tab w:val="num" w:pos="5760"/>
        </w:tabs>
        <w:ind w:left="5760" w:hanging="360"/>
      </w:pPr>
    </w:lvl>
    <w:lvl w:ilvl="8" w:tplc="E82473B4">
      <w:start w:val="1"/>
      <w:numFmt w:val="lowerRoman"/>
      <w:lvlText w:val="%9."/>
      <w:lvlJc w:val="left"/>
      <w:pPr>
        <w:tabs>
          <w:tab w:val="num" w:pos="6480"/>
        </w:tabs>
        <w:ind w:left="6480" w:hanging="360"/>
      </w:pPr>
    </w:lvl>
  </w:abstractNum>
  <w:abstractNum w:abstractNumId="1">
    <w:nsid w:val="5D3205E3"/>
    <w:multiLevelType w:val="hybridMultilevel"/>
    <w:tmpl w:val="B8DAF4FC"/>
    <w:lvl w:ilvl="0" w:tplc="F7A6496C">
      <w:start w:val="1"/>
      <w:numFmt w:val="bullet"/>
      <w:lvlText w:val=""/>
      <w:lvlJc w:val="left"/>
      <w:pPr>
        <w:ind w:left="720" w:hanging="360"/>
      </w:pPr>
      <w:rPr>
        <w:rFonts w:ascii="Symbol" w:hAnsi="Symbol"/>
      </w:rPr>
    </w:lvl>
    <w:lvl w:ilvl="1" w:tplc="0A9A3A72">
      <w:start w:val="1"/>
      <w:numFmt w:val="bullet"/>
      <w:lvlText w:val="o"/>
      <w:lvlJc w:val="left"/>
      <w:pPr>
        <w:ind w:left="1440" w:hanging="360"/>
      </w:pPr>
      <w:rPr>
        <w:rFonts w:ascii="Courier New" w:hAnsi="Courier New"/>
      </w:rPr>
    </w:lvl>
    <w:lvl w:ilvl="2" w:tplc="82FECF86">
      <w:start w:val="1"/>
      <w:numFmt w:val="bullet"/>
      <w:lvlText w:val=""/>
      <w:lvlJc w:val="left"/>
      <w:pPr>
        <w:ind w:left="2160" w:hanging="360"/>
      </w:pPr>
      <w:rPr>
        <w:rFonts w:ascii="Wingdings" w:hAnsi="Wingdings"/>
      </w:rPr>
    </w:lvl>
    <w:lvl w:ilvl="3" w:tplc="C92C31B2">
      <w:start w:val="1"/>
      <w:numFmt w:val="bullet"/>
      <w:lvlText w:val=""/>
      <w:lvlJc w:val="left"/>
      <w:pPr>
        <w:ind w:left="2880" w:hanging="360"/>
      </w:pPr>
      <w:rPr>
        <w:rFonts w:ascii="Symbol" w:hAnsi="Symbol"/>
      </w:rPr>
    </w:lvl>
    <w:lvl w:ilvl="4" w:tplc="066E2BA0">
      <w:start w:val="1"/>
      <w:numFmt w:val="bullet"/>
      <w:lvlText w:val="o"/>
      <w:lvlJc w:val="left"/>
      <w:pPr>
        <w:ind w:left="3600" w:hanging="360"/>
      </w:pPr>
      <w:rPr>
        <w:rFonts w:ascii="Courier New" w:hAnsi="Courier New"/>
      </w:rPr>
    </w:lvl>
    <w:lvl w:ilvl="5" w:tplc="04B279EC">
      <w:start w:val="1"/>
      <w:numFmt w:val="bullet"/>
      <w:lvlText w:val=""/>
      <w:lvlJc w:val="left"/>
      <w:pPr>
        <w:ind w:left="4320" w:hanging="360"/>
      </w:pPr>
      <w:rPr>
        <w:rFonts w:ascii="Wingdings" w:hAnsi="Wingdings"/>
      </w:rPr>
    </w:lvl>
    <w:lvl w:ilvl="6" w:tplc="E4E02698">
      <w:start w:val="1"/>
      <w:numFmt w:val="bullet"/>
      <w:lvlText w:val=""/>
      <w:lvlJc w:val="left"/>
      <w:pPr>
        <w:ind w:left="5040" w:hanging="360"/>
      </w:pPr>
      <w:rPr>
        <w:rFonts w:ascii="Symbol" w:hAnsi="Symbol"/>
      </w:rPr>
    </w:lvl>
    <w:lvl w:ilvl="7" w:tplc="F1783808">
      <w:start w:val="1"/>
      <w:numFmt w:val="bullet"/>
      <w:lvlText w:val="o"/>
      <w:lvlJc w:val="left"/>
      <w:pPr>
        <w:ind w:left="5760" w:hanging="360"/>
      </w:pPr>
      <w:rPr>
        <w:rFonts w:ascii="Courier New" w:hAnsi="Courier New"/>
      </w:rPr>
    </w:lvl>
    <w:lvl w:ilvl="8" w:tplc="DBB68DF8">
      <w:start w:val="1"/>
      <w:numFmt w:val="bullet"/>
      <w:lvlText w:val=""/>
      <w:lvlJc w:val="left"/>
      <w:pPr>
        <w:ind w:left="6480" w:hanging="360"/>
      </w:pPr>
      <w:rPr>
        <w:rFonts w:ascii="Wingdings" w:hAnsi="Wingdings"/>
      </w:rPr>
    </w:lvl>
  </w:abstractNum>
  <w:abstractNum w:abstractNumId="2">
    <w:nsid w:val="78A23B86"/>
    <w:multiLevelType w:val="hybridMultilevel"/>
    <w:tmpl w:val="49187D40"/>
    <w:lvl w:ilvl="0" w:tplc="717C232A">
      <w:start w:val="1"/>
      <w:numFmt w:val="decimal"/>
      <w:lvlText w:val="%1."/>
      <w:lvlJc w:val="left"/>
      <w:pPr>
        <w:ind w:left="720" w:hanging="360"/>
      </w:pPr>
    </w:lvl>
    <w:lvl w:ilvl="1" w:tplc="6020350E">
      <w:start w:val="1"/>
      <w:numFmt w:val="lowerLetter"/>
      <w:lvlText w:val="%2."/>
      <w:lvlJc w:val="left"/>
      <w:pPr>
        <w:ind w:left="1440" w:hanging="360"/>
      </w:pPr>
    </w:lvl>
    <w:lvl w:ilvl="2" w:tplc="D6ECD2C0">
      <w:start w:val="1"/>
      <w:numFmt w:val="lowerRoman"/>
      <w:lvlText w:val="%3."/>
      <w:lvlJc w:val="right"/>
      <w:pPr>
        <w:ind w:left="2160" w:hanging="180"/>
      </w:pPr>
    </w:lvl>
    <w:lvl w:ilvl="3" w:tplc="D0063110">
      <w:start w:val="1"/>
      <w:numFmt w:val="decimal"/>
      <w:lvlText w:val="%4."/>
      <w:lvlJc w:val="left"/>
      <w:pPr>
        <w:ind w:left="2880" w:hanging="360"/>
      </w:pPr>
    </w:lvl>
    <w:lvl w:ilvl="4" w:tplc="9C84FB6A">
      <w:start w:val="1"/>
      <w:numFmt w:val="lowerLetter"/>
      <w:lvlText w:val="%5."/>
      <w:lvlJc w:val="left"/>
      <w:pPr>
        <w:ind w:left="3600" w:hanging="360"/>
      </w:pPr>
    </w:lvl>
    <w:lvl w:ilvl="5" w:tplc="ADE82D3E">
      <w:start w:val="1"/>
      <w:numFmt w:val="lowerRoman"/>
      <w:lvlText w:val="%6."/>
      <w:lvlJc w:val="right"/>
      <w:pPr>
        <w:ind w:left="4320" w:hanging="180"/>
      </w:pPr>
    </w:lvl>
    <w:lvl w:ilvl="6" w:tplc="1F5C7414">
      <w:start w:val="1"/>
      <w:numFmt w:val="decimal"/>
      <w:lvlText w:val="%7."/>
      <w:lvlJc w:val="left"/>
      <w:pPr>
        <w:ind w:left="5040" w:hanging="360"/>
      </w:pPr>
    </w:lvl>
    <w:lvl w:ilvl="7" w:tplc="9D8EC72C">
      <w:start w:val="1"/>
      <w:numFmt w:val="lowerLetter"/>
      <w:lvlText w:val="%8."/>
      <w:lvlJc w:val="left"/>
      <w:pPr>
        <w:ind w:left="5760" w:hanging="360"/>
      </w:pPr>
    </w:lvl>
    <w:lvl w:ilvl="8" w:tplc="69A43670">
      <w:start w:val="1"/>
      <w:numFmt w:val="lowerRoman"/>
      <w:lvlText w:val="%9."/>
      <w:lvlJc w:val="right"/>
      <w:pPr>
        <w:ind w:left="6480" w:hanging="180"/>
      </w:pPr>
    </w:lvl>
  </w:abstractNum>
  <w:abstractNum w:abstractNumId="3">
    <w:nsid w:val="7B5F4E89"/>
    <w:multiLevelType w:val="hybridMultilevel"/>
    <w:tmpl w:val="00000000"/>
    <w:lvl w:ilvl="0" w:tplc="B0EA920C">
      <w:start w:val="1"/>
      <w:numFmt w:val="bullet"/>
      <w:lvlText w:val="·"/>
      <w:lvlJc w:val="left"/>
      <w:pPr>
        <w:tabs>
          <w:tab w:val="num" w:pos="720"/>
        </w:tabs>
        <w:ind w:left="720" w:hanging="360"/>
      </w:pPr>
      <w:rPr>
        <w:rFonts w:ascii="Symbol" w:hAnsi="Symbol"/>
      </w:rPr>
    </w:lvl>
    <w:lvl w:ilvl="1" w:tplc="48EC0234">
      <w:start w:val="1"/>
      <w:numFmt w:val="bullet"/>
      <w:lvlText w:val="·"/>
      <w:lvlJc w:val="left"/>
      <w:pPr>
        <w:tabs>
          <w:tab w:val="num" w:pos="1440"/>
        </w:tabs>
        <w:ind w:left="1440" w:hanging="360"/>
      </w:pPr>
      <w:rPr>
        <w:rFonts w:ascii="Symbol" w:hAnsi="Symbol"/>
      </w:rPr>
    </w:lvl>
    <w:lvl w:ilvl="2" w:tplc="DBC017B4">
      <w:start w:val="1"/>
      <w:numFmt w:val="bullet"/>
      <w:lvlText w:val="·"/>
      <w:lvlJc w:val="left"/>
      <w:pPr>
        <w:tabs>
          <w:tab w:val="num" w:pos="2160"/>
        </w:tabs>
        <w:ind w:left="2160" w:hanging="360"/>
      </w:pPr>
      <w:rPr>
        <w:rFonts w:ascii="Symbol" w:hAnsi="Symbol"/>
      </w:rPr>
    </w:lvl>
    <w:lvl w:ilvl="3" w:tplc="D4F8EB74">
      <w:start w:val="1"/>
      <w:numFmt w:val="bullet"/>
      <w:lvlText w:val="·"/>
      <w:lvlJc w:val="left"/>
      <w:pPr>
        <w:tabs>
          <w:tab w:val="num" w:pos="2880"/>
        </w:tabs>
        <w:ind w:left="2880" w:hanging="360"/>
      </w:pPr>
      <w:rPr>
        <w:rFonts w:ascii="Symbol" w:hAnsi="Symbol"/>
      </w:rPr>
    </w:lvl>
    <w:lvl w:ilvl="4" w:tplc="76565514">
      <w:start w:val="1"/>
      <w:numFmt w:val="bullet"/>
      <w:lvlText w:val="·"/>
      <w:lvlJc w:val="left"/>
      <w:pPr>
        <w:tabs>
          <w:tab w:val="num" w:pos="3600"/>
        </w:tabs>
        <w:ind w:left="3600" w:hanging="360"/>
      </w:pPr>
      <w:rPr>
        <w:rFonts w:ascii="Symbol" w:hAnsi="Symbol"/>
      </w:rPr>
    </w:lvl>
    <w:lvl w:ilvl="5" w:tplc="50E02866">
      <w:start w:val="1"/>
      <w:numFmt w:val="bullet"/>
      <w:lvlText w:val="·"/>
      <w:lvlJc w:val="left"/>
      <w:pPr>
        <w:tabs>
          <w:tab w:val="num" w:pos="4320"/>
        </w:tabs>
        <w:ind w:left="4320" w:hanging="360"/>
      </w:pPr>
      <w:rPr>
        <w:rFonts w:ascii="Symbol" w:hAnsi="Symbol"/>
      </w:rPr>
    </w:lvl>
    <w:lvl w:ilvl="6" w:tplc="3BFA4746">
      <w:start w:val="1"/>
      <w:numFmt w:val="bullet"/>
      <w:lvlText w:val="·"/>
      <w:lvlJc w:val="left"/>
      <w:pPr>
        <w:tabs>
          <w:tab w:val="num" w:pos="5040"/>
        </w:tabs>
        <w:ind w:left="5040" w:hanging="360"/>
      </w:pPr>
      <w:rPr>
        <w:rFonts w:ascii="Symbol" w:hAnsi="Symbol"/>
      </w:rPr>
    </w:lvl>
    <w:lvl w:ilvl="7" w:tplc="BC885072">
      <w:start w:val="1"/>
      <w:numFmt w:val="bullet"/>
      <w:lvlText w:val="·"/>
      <w:lvlJc w:val="left"/>
      <w:pPr>
        <w:tabs>
          <w:tab w:val="num" w:pos="5760"/>
        </w:tabs>
        <w:ind w:left="5760" w:hanging="360"/>
      </w:pPr>
      <w:rPr>
        <w:rFonts w:ascii="Symbol" w:hAnsi="Symbol"/>
      </w:rPr>
    </w:lvl>
    <w:lvl w:ilvl="8" w:tplc="AB2C3D0A">
      <w:start w:val="1"/>
      <w:numFmt w:val="bullet"/>
      <w:lvlText w:val="·"/>
      <w:lvlJc w:val="left"/>
      <w:pPr>
        <w:tabs>
          <w:tab w:val="num" w:pos="6480"/>
        </w:tabs>
        <w:ind w:left="6480" w:hanging="360"/>
      </w:pPr>
      <w:rPr>
        <w:rFonts w:ascii="Symbol" w:hAnsi="Symbol"/>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DC478F"/>
    <w:rsid w:val="000C098B"/>
    <w:rsid w:val="000C4649"/>
    <w:rsid w:val="000D051E"/>
    <w:rsid w:val="001064F7"/>
    <w:rsid w:val="00130E51"/>
    <w:rsid w:val="00136717"/>
    <w:rsid w:val="00150DB0"/>
    <w:rsid w:val="00174A64"/>
    <w:rsid w:val="00186600"/>
    <w:rsid w:val="001B2BCF"/>
    <w:rsid w:val="001F251F"/>
    <w:rsid w:val="001F7746"/>
    <w:rsid w:val="00224456"/>
    <w:rsid w:val="00234AEE"/>
    <w:rsid w:val="002A36BC"/>
    <w:rsid w:val="002F6109"/>
    <w:rsid w:val="002F7B6D"/>
    <w:rsid w:val="00340D74"/>
    <w:rsid w:val="00342B80"/>
    <w:rsid w:val="00354E83"/>
    <w:rsid w:val="003646C6"/>
    <w:rsid w:val="00391570"/>
    <w:rsid w:val="003C2D66"/>
    <w:rsid w:val="003E6C79"/>
    <w:rsid w:val="003F7935"/>
    <w:rsid w:val="004121ED"/>
    <w:rsid w:val="00423CB9"/>
    <w:rsid w:val="00432420"/>
    <w:rsid w:val="004D2C65"/>
    <w:rsid w:val="004F7761"/>
    <w:rsid w:val="005138C4"/>
    <w:rsid w:val="00515E96"/>
    <w:rsid w:val="0058619A"/>
    <w:rsid w:val="00594FBF"/>
    <w:rsid w:val="005A01B0"/>
    <w:rsid w:val="005C4781"/>
    <w:rsid w:val="005E0857"/>
    <w:rsid w:val="005F2DBD"/>
    <w:rsid w:val="00622A38"/>
    <w:rsid w:val="006649CE"/>
    <w:rsid w:val="00685411"/>
    <w:rsid w:val="006C794E"/>
    <w:rsid w:val="007556ED"/>
    <w:rsid w:val="00756EDA"/>
    <w:rsid w:val="00790AC0"/>
    <w:rsid w:val="007B3334"/>
    <w:rsid w:val="007E1397"/>
    <w:rsid w:val="007E5B71"/>
    <w:rsid w:val="008037BD"/>
    <w:rsid w:val="0082174B"/>
    <w:rsid w:val="00871E88"/>
    <w:rsid w:val="00884E3E"/>
    <w:rsid w:val="008955F8"/>
    <w:rsid w:val="008B7CE4"/>
    <w:rsid w:val="008D5A55"/>
    <w:rsid w:val="00944E3B"/>
    <w:rsid w:val="009506A7"/>
    <w:rsid w:val="0095145C"/>
    <w:rsid w:val="0096668D"/>
    <w:rsid w:val="00974584"/>
    <w:rsid w:val="009950A0"/>
    <w:rsid w:val="009C0FD5"/>
    <w:rsid w:val="009E7935"/>
    <w:rsid w:val="00A44079"/>
    <w:rsid w:val="00A45902"/>
    <w:rsid w:val="00A55BA2"/>
    <w:rsid w:val="00A87161"/>
    <w:rsid w:val="00A973EC"/>
    <w:rsid w:val="00AF19F4"/>
    <w:rsid w:val="00B51A43"/>
    <w:rsid w:val="00B64481"/>
    <w:rsid w:val="00B73103"/>
    <w:rsid w:val="00B92A19"/>
    <w:rsid w:val="00B93AFE"/>
    <w:rsid w:val="00BD6426"/>
    <w:rsid w:val="00BD74AB"/>
    <w:rsid w:val="00BE4725"/>
    <w:rsid w:val="00BF390B"/>
    <w:rsid w:val="00C10D8C"/>
    <w:rsid w:val="00C420FD"/>
    <w:rsid w:val="00C47F6A"/>
    <w:rsid w:val="00CB4187"/>
    <w:rsid w:val="00CC173E"/>
    <w:rsid w:val="00CE448B"/>
    <w:rsid w:val="00D55C6E"/>
    <w:rsid w:val="00D63620"/>
    <w:rsid w:val="00D71A83"/>
    <w:rsid w:val="00DA7C86"/>
    <w:rsid w:val="00DC478F"/>
    <w:rsid w:val="00E17A27"/>
    <w:rsid w:val="00E6251F"/>
    <w:rsid w:val="00E762FB"/>
    <w:rsid w:val="00E809AF"/>
    <w:rsid w:val="00E8448D"/>
    <w:rsid w:val="00EC3D45"/>
    <w:rsid w:val="00EC6FA0"/>
    <w:rsid w:val="00F105EB"/>
    <w:rsid w:val="00F26A70"/>
    <w:rsid w:val="00F5154B"/>
    <w:rsid w:val="00F52767"/>
    <w:rsid w:val="00F60F05"/>
    <w:rsid w:val="00F6381C"/>
    <w:rsid w:val="00F76ED2"/>
    <w:rsid w:val="00FC2AE0"/>
    <w:rsid w:val="00FE1906"/>
    <w:rsid w:val="00FE2444"/>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5154B"/>
    <w:rPr>
      <w:color w:val="0000FF"/>
      <w:u w:val="single"/>
    </w:rPr>
  </w:style>
  <w:style w:type="paragraph" w:styleId="NormalWeb">
    <w:name w:val="Normal (Web)"/>
    <w:basedOn w:val="Normal"/>
    <w:uiPriority w:val="99"/>
    <w:semiHidden/>
    <w:unhideWhenUsed/>
    <w:rsid w:val="001F77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121ED"/>
    <w:pPr>
      <w:ind w:left="720"/>
      <w:contextualSpacing/>
    </w:pPr>
  </w:style>
  <w:style w:type="paragraph" w:styleId="BalloonText">
    <w:name w:val="Balloon Text"/>
    <w:basedOn w:val="Normal"/>
    <w:link w:val="BalloonTextChar"/>
    <w:uiPriority w:val="99"/>
    <w:semiHidden/>
    <w:unhideWhenUsed/>
    <w:rsid w:val="00E84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48D"/>
    <w:rPr>
      <w:rFonts w:ascii="Tahoma" w:hAnsi="Tahoma" w:cs="Tahoma"/>
      <w:sz w:val="16"/>
      <w:szCs w:val="16"/>
    </w:rPr>
  </w:style>
  <w:style w:type="paragraph" w:styleId="NoSpacing">
    <w:name w:val="No Spacing"/>
    <w:uiPriority w:val="1"/>
    <w:qFormat/>
    <w:rsid w:val="00E8448D"/>
    <w:pPr>
      <w:spacing w:after="0" w:line="240" w:lineRule="auto"/>
    </w:pPr>
  </w:style>
  <w:style w:type="paragraph" w:styleId="Header">
    <w:name w:val="header"/>
    <w:basedOn w:val="Normal"/>
    <w:link w:val="HeaderChar"/>
    <w:uiPriority w:val="99"/>
    <w:semiHidden/>
    <w:unhideWhenUsed/>
    <w:rsid w:val="00E762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62FB"/>
  </w:style>
  <w:style w:type="paragraph" w:styleId="Footer">
    <w:name w:val="footer"/>
    <w:basedOn w:val="Normal"/>
    <w:link w:val="FooterChar"/>
    <w:uiPriority w:val="99"/>
    <w:unhideWhenUsed/>
    <w:rsid w:val="00E76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2FB"/>
  </w:style>
  <w:style w:type="paragraph" w:styleId="FootnoteText">
    <w:name w:val="footnote text"/>
    <w:basedOn w:val="Normal"/>
    <w:link w:val="FootnoteTextChar"/>
    <w:uiPriority w:val="99"/>
    <w:semiHidden/>
    <w:unhideWhenUsed/>
    <w:rsid w:val="001F251F"/>
    <w:pPr>
      <w:spacing w:after="160" w:line="288" w:lineRule="auto"/>
      <w:ind w:left="2160"/>
    </w:pPr>
    <w:rPr>
      <w:rFonts w:ascii="Times New Roman" w:eastAsia="Times New Roman" w:hAnsi="Times New Roman" w:cs="Times New Roman"/>
      <w:color w:val="5A5A5A"/>
      <w:sz w:val="20"/>
      <w:szCs w:val="20"/>
      <w:lang w:val="en-US" w:bidi="en-US"/>
    </w:rPr>
  </w:style>
  <w:style w:type="character" w:customStyle="1" w:styleId="FootnoteTextChar">
    <w:name w:val="Footnote Text Char"/>
    <w:basedOn w:val="DefaultParagraphFont"/>
    <w:link w:val="FootnoteText"/>
    <w:uiPriority w:val="99"/>
    <w:semiHidden/>
    <w:rsid w:val="001F251F"/>
    <w:rPr>
      <w:rFonts w:ascii="Times New Roman" w:eastAsia="Times New Roman" w:hAnsi="Times New Roman" w:cs="Times New Roman"/>
      <w:color w:val="5A5A5A"/>
      <w:sz w:val="20"/>
      <w:szCs w:val="20"/>
      <w:lang w:val="en-US" w:bidi="en-US"/>
    </w:rPr>
  </w:style>
  <w:style w:type="character" w:styleId="FootnoteReference">
    <w:name w:val="footnote reference"/>
    <w:basedOn w:val="DefaultParagraphFont"/>
    <w:uiPriority w:val="99"/>
    <w:semiHidden/>
    <w:unhideWhenUsed/>
    <w:rsid w:val="001F251F"/>
    <w:rPr>
      <w:vertAlign w:val="superscript"/>
    </w:rPr>
  </w:style>
  <w:style w:type="paragraph" w:styleId="Date">
    <w:name w:val="Date"/>
    <w:basedOn w:val="Normal"/>
    <w:next w:val="Normal"/>
    <w:link w:val="DateChar"/>
    <w:uiPriority w:val="99"/>
    <w:semiHidden/>
    <w:unhideWhenUsed/>
    <w:rsid w:val="00FC2AE0"/>
  </w:style>
  <w:style w:type="character" w:customStyle="1" w:styleId="DateChar">
    <w:name w:val="Date Char"/>
    <w:basedOn w:val="DefaultParagraphFont"/>
    <w:link w:val="Date"/>
    <w:uiPriority w:val="99"/>
    <w:semiHidden/>
    <w:rsid w:val="00FC2AE0"/>
  </w:style>
</w:styles>
</file>

<file path=word/webSettings.xml><?xml version="1.0" encoding="utf-8"?>
<w:webSettings xmlns:r="http://schemas.openxmlformats.org/officeDocument/2006/relationships" xmlns:w="http://schemas.openxmlformats.org/wordprocessingml/2006/main">
  <w:divs>
    <w:div w:id="20172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Information Services</cp:lastModifiedBy>
  <cp:revision>6</cp:revision>
  <cp:lastPrinted>2012-01-31T14:01:00Z</cp:lastPrinted>
  <dcterms:created xsi:type="dcterms:W3CDTF">2012-12-06T10:15:00Z</dcterms:created>
  <dcterms:modified xsi:type="dcterms:W3CDTF">2012-12-10T16:33:00Z</dcterms:modified>
</cp:coreProperties>
</file>